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200"/>
        <w:jc w:val="center"/>
      </w:pPr>
      <w:r>
        <w:rPr>
          <w:b/>
          <w:bCs/>
          <w:color w:val="1F3864"/>
          <w:sz w:val="44"/>
          <w:szCs w:val="44"/>
        </w:rPr>
        <w:t xml:space="preserve">CBAM MONITORING PLAN</w:t>
      </w:r>
    </w:p>
    <w:p>
      <w:pPr>
        <w:spacing w:after="60"/>
        <w:jc w:val="center"/>
      </w:pPr>
      <w:r>
        <w:rPr>
          <w:color w:val="444444"/>
          <w:sz w:val="26"/>
          <w:szCs w:val="26"/>
        </w:rPr>
        <w:t xml:space="preserve">Built on the Official 22-Element Template — IR 2025/2547, Annex II, Point A.5</w:t>
      </w:r>
    </w:p>
    <w:p>
      <w:pPr>
        <w:spacing w:after="500"/>
        <w:jc w:val="center"/>
      </w:pPr>
      <w:r>
        <w:rPr>
          <w:i/>
          <w:iCs/>
          <w:color w:val="444444"/>
          <w:sz w:val="24"/>
          <w:szCs w:val="24"/>
        </w:rPr>
        <w:t xml:space="preserve">Aluminium Sector (Primary and Secondary Production) — Template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Installation name</w:t>
            </w:r>
          </w:p>
        </w:tc>
        <w:tc>
          <w:tcPr>
            <w:tcW w:type="dxa" w:w="6300"/>
            <w:tcMar>
              <w:top w:type="dxa" w:w="80"/>
              <w:left w:type="dxa" w:w="100"/>
              <w:bottom w:type="dxa" w:w="80"/>
              <w:right w:type="dxa" w:w="100"/>
            </w:tcMar>
          </w:tcPr>
          <w:p>
            <w:r>
              <w:rPr>
                <w:b w:val="false"/>
                <w:bCs w:val="false"/>
              </w:rPr>
              <w:t xml:space="preserve">[ Insert installation legal name ]</w:t>
            </w:r>
          </w:p>
        </w:tc>
      </w:tr>
      <w:tr>
        <w:tc>
          <w:tcPr>
            <w:tcW w:type="dxa" w:w="3200"/>
            <w:shd w:fill="F2F2F2" w:val="clear"/>
            <w:tcMar>
              <w:top w:type="dxa" w:w="80"/>
              <w:left w:type="dxa" w:w="100"/>
              <w:bottom w:type="dxa" w:w="80"/>
              <w:right w:type="dxa" w:w="100"/>
            </w:tcMar>
          </w:tcPr>
          <w:p>
            <w:r>
              <w:rPr>
                <w:b/>
                <w:bCs/>
              </w:rPr>
              <w:t xml:space="preserve">Operator</w:t>
            </w:r>
          </w:p>
        </w:tc>
        <w:tc>
          <w:tcPr>
            <w:tcW w:type="dxa" w:w="6300"/>
            <w:tcMar>
              <w:top w:type="dxa" w:w="80"/>
              <w:left w:type="dxa" w:w="100"/>
              <w:bottom w:type="dxa" w:w="80"/>
              <w:right w:type="dxa" w:w="100"/>
            </w:tcMar>
          </w:tcPr>
          <w:p>
            <w:r>
              <w:rPr>
                <w:b w:val="false"/>
                <w:bCs w:val="false"/>
              </w:rPr>
              <w:t xml:space="preserve">[ Insert operator company name ]</w:t>
            </w:r>
          </w:p>
        </w:tc>
      </w:tr>
      <w:tr>
        <w:tc>
          <w:tcPr>
            <w:tcW w:type="dxa" w:w="3200"/>
            <w:shd w:fill="F2F2F2" w:val="clear"/>
            <w:tcMar>
              <w:top w:type="dxa" w:w="80"/>
              <w:left w:type="dxa" w:w="100"/>
              <w:bottom w:type="dxa" w:w="80"/>
              <w:right w:type="dxa" w:w="100"/>
            </w:tcMar>
          </w:tcPr>
          <w:p>
            <w:r>
              <w:rPr>
                <w:b/>
                <w:bCs/>
              </w:rPr>
              <w:t xml:space="preserve">Country of production</w:t>
            </w:r>
          </w:p>
        </w:tc>
        <w:tc>
          <w:tcPr>
            <w:tcW w:type="dxa" w:w="6300"/>
            <w:tcMar>
              <w:top w:type="dxa" w:w="80"/>
              <w:left w:type="dxa" w:w="100"/>
              <w:bottom w:type="dxa" w:w="80"/>
              <w:right w:type="dxa" w:w="100"/>
            </w:tcMar>
          </w:tcPr>
          <w:p>
            <w:r>
              <w:rPr>
                <w:b w:val="false"/>
                <w:bCs w:val="false"/>
              </w:rPr>
              <w:t xml:space="preserve">[ Insert country ]</w:t>
            </w:r>
          </w:p>
        </w:tc>
      </w:tr>
      <w:tr>
        <w:tc>
          <w:tcPr>
            <w:tcW w:type="dxa" w:w="3200"/>
            <w:shd w:fill="F2F2F2" w:val="clear"/>
            <w:tcMar>
              <w:top w:type="dxa" w:w="80"/>
              <w:left w:type="dxa" w:w="100"/>
              <w:bottom w:type="dxa" w:w="80"/>
              <w:right w:type="dxa" w:w="100"/>
            </w:tcMar>
          </w:tcPr>
          <w:p>
            <w:r>
              <w:rPr>
                <w:b/>
                <w:bCs/>
              </w:rPr>
              <w:t xml:space="preserve">Document version</w:t>
            </w:r>
          </w:p>
        </w:tc>
        <w:tc>
          <w:tcPr>
            <w:tcW w:type="dxa" w:w="6300"/>
            <w:tcMar>
              <w:top w:type="dxa" w:w="80"/>
              <w:left w:type="dxa" w:w="100"/>
              <w:bottom w:type="dxa" w:w="80"/>
              <w:right w:type="dxa" w:w="100"/>
            </w:tcMar>
          </w:tcPr>
          <w:p>
            <w:r>
              <w:rPr>
                <w:b w:val="false"/>
                <w:bCs w:val="false"/>
              </w:rPr>
              <w:t xml:space="preserve">1.0</w:t>
            </w:r>
          </w:p>
        </w:tc>
      </w:tr>
      <w:tr>
        <w:tc>
          <w:tcPr>
            <w:tcW w:type="dxa" w:w="3200"/>
            <w:shd w:fill="F2F2F2" w:val="clear"/>
            <w:tcMar>
              <w:top w:type="dxa" w:w="80"/>
              <w:left w:type="dxa" w:w="100"/>
              <w:bottom w:type="dxa" w:w="80"/>
              <w:right w:type="dxa" w:w="100"/>
            </w:tcMar>
          </w:tcPr>
          <w:p>
            <w:r>
              <w:rPr>
                <w:b/>
                <w:bCs/>
              </w:rPr>
              <w:t xml:space="preserve">Prepared by</w:t>
            </w:r>
          </w:p>
        </w:tc>
        <w:tc>
          <w:tcPr>
            <w:tcW w:type="dxa" w:w="6300"/>
            <w:tcMar>
              <w:top w:type="dxa" w:w="80"/>
              <w:left w:type="dxa" w:w="100"/>
              <w:bottom w:type="dxa" w:w="80"/>
              <w:right w:type="dxa" w:w="100"/>
            </w:tcMar>
          </w:tcPr>
          <w:p>
            <w:r>
              <w:rPr>
                <w:b w:val="false"/>
                <w:bCs w:val="false"/>
              </w:rPr>
              <w:t xml:space="preserve">[ Name / role ]</w:t>
            </w:r>
          </w:p>
        </w:tc>
      </w:tr>
      <w:tr>
        <w:tc>
          <w:tcPr>
            <w:tcW w:type="dxa" w:w="3200"/>
            <w:shd w:fill="F2F2F2" w:val="clear"/>
            <w:tcMar>
              <w:top w:type="dxa" w:w="80"/>
              <w:left w:type="dxa" w:w="100"/>
              <w:bottom w:type="dxa" w:w="80"/>
              <w:right w:type="dxa" w:w="100"/>
            </w:tcMar>
          </w:tcPr>
          <w:p>
            <w:r>
              <w:rPr>
                <w:b/>
                <w:bCs/>
              </w:rPr>
              <w:t xml:space="preserve">Date</w:t>
            </w:r>
          </w:p>
        </w:tc>
        <w:tc>
          <w:tcPr>
            <w:tcW w:type="dxa" w:w="6300"/>
            <w:tcMar>
              <w:top w:type="dxa" w:w="80"/>
              <w:left w:type="dxa" w:w="100"/>
              <w:bottom w:type="dxa" w:w="80"/>
              <w:right w:type="dxa" w:w="100"/>
            </w:tcMar>
          </w:tcPr>
          <w:p>
            <w:r>
              <w:rPr>
                <w:b w:val="false"/>
                <w:bCs w:val="false"/>
              </w:rPr>
              <w:t xml:space="preserve">[ DD Month YYYY ]</w:t>
            </w:r>
          </w:p>
        </w:tc>
      </w:tr>
      <w:tr>
        <w:tc>
          <w:tcPr>
            <w:tcW w:type="dxa" w:w="3200"/>
            <w:shd w:fill="F2F2F2" w:val="clear"/>
            <w:tcMar>
              <w:top w:type="dxa" w:w="80"/>
              <w:left w:type="dxa" w:w="100"/>
              <w:bottom w:type="dxa" w:w="80"/>
              <w:right w:type="dxa" w:w="100"/>
            </w:tcMar>
          </w:tcPr>
          <w:p>
            <w:r>
              <w:rPr>
                <w:b/>
                <w:bCs/>
              </w:rPr>
              <w:t xml:space="preserve">Reporting period covered</w:t>
            </w:r>
          </w:p>
        </w:tc>
        <w:tc>
          <w:tcPr>
            <w:tcW w:type="dxa" w:w="6300"/>
            <w:tcMar>
              <w:top w:type="dxa" w:w="80"/>
              <w:left w:type="dxa" w:w="100"/>
              <w:bottom w:type="dxa" w:w="80"/>
              <w:right w:type="dxa" w:w="100"/>
            </w:tcMar>
          </w:tcPr>
          <w:p>
            <w:r>
              <w:rPr>
                <w:b w:val="false"/>
                <w:bCs w:val="false"/>
              </w:rPr>
              <w:t xml:space="preserve">[ Calendar year / fiscal year ]</w:t>
            </w:r>
          </w:p>
        </w:tc>
      </w:tr>
    </w:tbl>
    <w:p>
      <w:pPr>
        <w:spacing w:before="400"/>
      </w:pPr>
    </w:p>
    <w:p>
      <w:pPr>
        <w:pBdr>
          <w:left w:val="single" w:color="1F3864" w:sz="12" w:space="8"/>
        </w:pBdr>
        <w:spacing w:after="200"/>
        <w:ind w:left="120"/>
      </w:pPr>
      <w:r>
        <w:rPr>
          <w:i/>
          <w:iCs/>
          <w:color w:val="555555"/>
          <w:sz w:val="20"/>
          <w:szCs w:val="20"/>
        </w:rPr>
        <w:t xml:space="preserve">Note: This template is built directly on the official minimum-elements list for the Monitoring Plan set out in Commission Implementing Regulation (EU) 2025/2547 of 10 December 2025 (Annex II, point A.5), which governs the CBAM definitive period from 1 January 2026. The 22 numbered elements below correspond, in order, to the 22 elements listed in that Annex. Verification is carried out against Implementing Regulation (EU) 2025/2546. Under Article 5(6) of IR 2025/2547, the Monitoring Plan must be submitted to the verifier in English.</w:t>
      </w:r>
    </w:p>
    <w:p>
      <w:r>
        <w:br w:type="page"/>
      </w:r>
    </w:p>
    <w:p>
      <w:pPr>
        <w:pStyle w:val="Heading1"/>
        <w:spacing w:after="160" w:before="320"/>
      </w:pPr>
      <w:r>
        <w:t xml:space="preserve">Purpose of this Document</w:t>
      </w:r>
    </w:p>
    <w:p>
      <w:pPr>
        <w:spacing w:after="140"/>
      </w:pPr>
      <w:r>
        <w:t xml:space="preserve">This Monitoring Plan sets out the methodological criteria used by [Company Name] to collect data at the installation throughout the reporting period and to calculate the embedded emissions of aluminium goods, for the purpose of verification under IR 2025/2546 and reporting to EU importers under CBAM.</w:t>
      </w:r>
    </w:p>
    <w:p>
      <w:pPr>
        <w:spacing w:after="140"/>
      </w:pPr>
      <w:r>
        <w:t xml:space="preserve">Each numbered section below corresponds to one of the 22 minimum elements required by Annex II, point A.5 of IR 2025/2547. Keeping this numbering intact makes it straightforward for an accredited verifier to check the plan against the regulatory checklist.</w:t>
      </w:r>
    </w:p>
    <w:p>
      <w:pPr>
        <w:pStyle w:val="Heading1"/>
        <w:spacing w:after="160" w:before="320"/>
      </w:pPr>
      <w:r>
        <w:t xml:space="preserve">Element 1 — Date and Version Number</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Monitoring Plan version</w:t>
            </w:r>
          </w:p>
        </w:tc>
        <w:tc>
          <w:tcPr>
            <w:tcW w:type="dxa" w:w="6300"/>
            <w:tcMar>
              <w:top w:type="dxa" w:w="80"/>
              <w:left w:type="dxa" w:w="100"/>
              <w:bottom w:type="dxa" w:w="80"/>
              <w:right w:type="dxa" w:w="100"/>
            </w:tcMar>
          </w:tcPr>
          <w:p>
            <w:r>
              <w:rPr>
                <w:b w:val="false"/>
                <w:bCs w:val="false"/>
              </w:rPr>
              <w:t xml:space="preserve">1.0</w:t>
            </w:r>
          </w:p>
        </w:tc>
      </w:tr>
      <w:tr>
        <w:tc>
          <w:tcPr>
            <w:tcW w:type="dxa" w:w="3200"/>
            <w:shd w:fill="F2F2F2" w:val="clear"/>
            <w:tcMar>
              <w:top w:type="dxa" w:w="80"/>
              <w:left w:type="dxa" w:w="100"/>
              <w:bottom w:type="dxa" w:w="80"/>
              <w:right w:type="dxa" w:w="100"/>
            </w:tcMar>
          </w:tcPr>
          <w:p>
            <w:r>
              <w:rPr>
                <w:b/>
                <w:bCs/>
              </w:rPr>
              <w:t xml:space="preserve">Date</w:t>
            </w:r>
          </w:p>
        </w:tc>
        <w:tc>
          <w:tcPr>
            <w:tcW w:type="dxa" w:w="6300"/>
            <w:tcMar>
              <w:top w:type="dxa" w:w="80"/>
              <w:left w:type="dxa" w:w="100"/>
              <w:bottom w:type="dxa" w:w="80"/>
              <w:right w:type="dxa" w:w="100"/>
            </w:tcMar>
          </w:tcPr>
          <w:p>
            <w:r>
              <w:rPr>
                <w:b w:val="false"/>
                <w:bCs w:val="false"/>
              </w:rPr>
              <w:t xml:space="preserve">[ DD Month YYYY ]</w:t>
            </w:r>
          </w:p>
        </w:tc>
      </w:tr>
    </w:tbl>
    <w:p>
      <w:pPr>
        <w:pStyle w:val="Heading1"/>
        <w:spacing w:after="160" w:before="320"/>
      </w:pPr>
      <w:r>
        <w:t xml:space="preserve">Element 2 — Description of the Installation and Production Processes</w:t>
      </w:r>
    </w:p>
    <w:p>
      <w:pPr>
        <w:spacing w:after="140"/>
      </w:pPr>
      <w:r>
        <w:t xml:space="preserve">Describe the installation and the production processes it carries out (e.g. primary aluminium via electrolysis, and/or secondary aluminium via recycling).</w:t>
      </w:r>
    </w:p>
    <w:p>
      <w:pPr>
        <w:spacing w:after="160"/>
      </w:pPr>
      <w:r>
        <w:rPr>
          <w:i/>
          <w:iCs/>
          <w:color w:val="808080"/>
        </w:rPr>
        <w:t xml:space="preserve">[ Insert a narrative description of the installation and its production processes ]</w:t>
      </w:r>
    </w:p>
    <w:p>
      <w:pPr>
        <w:pStyle w:val="Heading1"/>
        <w:spacing w:after="160" w:before="320"/>
      </w:pPr>
      <w:r>
        <w:t xml:space="preserve">Element 3 — Goods Produced (CN Code and Functional Unit)</w:t>
      </w:r>
    </w:p>
    <w:p>
      <w:pPr>
        <w:spacing w:after="140"/>
      </w:pPr>
      <w:r>
        <w:t xml:space="preserve">List all relevant goods produced, by CN code and functional unit (tonnes of goods for aluminium).</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Aggregated goods category</w:t>
            </w:r>
          </w:p>
        </w:tc>
        <w:tc>
          <w:tcPr>
            <w:tcW w:type="dxa" w:w="6300"/>
            <w:tcMar>
              <w:top w:type="dxa" w:w="80"/>
              <w:left w:type="dxa" w:w="100"/>
              <w:bottom w:type="dxa" w:w="80"/>
              <w:right w:type="dxa" w:w="100"/>
            </w:tcMar>
          </w:tcPr>
          <w:p>
            <w:r>
              <w:rPr>
                <w:b w:val="false"/>
                <w:bCs w:val="false"/>
              </w:rPr>
              <w:t xml:space="preserve">[ e.g. Unwrought aluminium / Aluminium products ]</w:t>
            </w:r>
          </w:p>
        </w:tc>
      </w:tr>
      <w:tr>
        <w:tc>
          <w:tcPr>
            <w:tcW w:type="dxa" w:w="3200"/>
            <w:shd w:fill="F2F2F2" w:val="clear"/>
            <w:tcMar>
              <w:top w:type="dxa" w:w="80"/>
              <w:left w:type="dxa" w:w="100"/>
              <w:bottom w:type="dxa" w:w="80"/>
              <w:right w:type="dxa" w:w="100"/>
            </w:tcMar>
          </w:tcPr>
          <w:p>
            <w:r>
              <w:rPr>
                <w:b/>
                <w:bCs/>
              </w:rPr>
              <w:t xml:space="preserve">CN code(s)</w:t>
            </w:r>
          </w:p>
        </w:tc>
        <w:tc>
          <w:tcPr>
            <w:tcW w:type="dxa" w:w="6300"/>
            <w:tcMar>
              <w:top w:type="dxa" w:w="80"/>
              <w:left w:type="dxa" w:w="100"/>
              <w:bottom w:type="dxa" w:w="80"/>
              <w:right w:type="dxa" w:w="100"/>
            </w:tcMar>
          </w:tcPr>
          <w:p>
            <w:r>
              <w:rPr>
                <w:b w:val="false"/>
                <w:bCs w:val="false"/>
              </w:rPr>
              <w:t xml:space="preserve">[ Insert CN code(s), e.g. 7601, 7604, 7606… ]</w:t>
            </w:r>
          </w:p>
        </w:tc>
      </w:tr>
      <w:tr>
        <w:tc>
          <w:tcPr>
            <w:tcW w:type="dxa" w:w="3200"/>
            <w:shd w:fill="F2F2F2" w:val="clear"/>
            <w:tcMar>
              <w:top w:type="dxa" w:w="80"/>
              <w:left w:type="dxa" w:w="100"/>
              <w:bottom w:type="dxa" w:w="80"/>
              <w:right w:type="dxa" w:w="100"/>
            </w:tcMar>
          </w:tcPr>
          <w:p>
            <w:r>
              <w:rPr>
                <w:b/>
                <w:bCs/>
              </w:rPr>
              <w:t xml:space="preserve">Functional unit</w:t>
            </w:r>
          </w:p>
        </w:tc>
        <w:tc>
          <w:tcPr>
            <w:tcW w:type="dxa" w:w="6300"/>
            <w:tcMar>
              <w:top w:type="dxa" w:w="80"/>
              <w:left w:type="dxa" w:w="100"/>
              <w:bottom w:type="dxa" w:w="80"/>
              <w:right w:type="dxa" w:w="100"/>
            </w:tcMar>
          </w:tcPr>
          <w:p>
            <w:r>
              <w:rPr>
                <w:b w:val="false"/>
                <w:bCs w:val="false"/>
              </w:rPr>
              <w:t xml:space="preserve">Tonnes of goods</w:t>
            </w:r>
          </w:p>
        </w:tc>
      </w:tr>
      <w:tr>
        <w:tc>
          <w:tcPr>
            <w:tcW w:type="dxa" w:w="3200"/>
            <w:shd w:fill="F2F2F2" w:val="clear"/>
            <w:tcMar>
              <w:top w:type="dxa" w:w="80"/>
              <w:left w:type="dxa" w:w="100"/>
              <w:bottom w:type="dxa" w:w="80"/>
              <w:right w:type="dxa" w:w="100"/>
            </w:tcMar>
          </w:tcPr>
          <w:p>
            <w:r>
              <w:rPr>
                <w:b/>
                <w:bCs/>
              </w:rPr>
              <w:t xml:space="preserve">Annual production volume (reference year)</w:t>
            </w:r>
          </w:p>
        </w:tc>
        <w:tc>
          <w:tcPr>
            <w:tcW w:type="dxa" w:w="6300"/>
            <w:tcMar>
              <w:top w:type="dxa" w:w="80"/>
              <w:left w:type="dxa" w:w="100"/>
              <w:bottom w:type="dxa" w:w="80"/>
              <w:right w:type="dxa" w:w="100"/>
            </w:tcMar>
          </w:tcPr>
          <w:p>
            <w:r>
              <w:rPr>
                <w:b w:val="false"/>
                <w:bCs w:val="false"/>
              </w:rPr>
              <w:t xml:space="preserve">[ Insert tonnes ]</w:t>
            </w:r>
          </w:p>
        </w:tc>
      </w:tr>
    </w:tbl>
    <w:p>
      <w:pPr>
        <w:pStyle w:val="Heading1"/>
        <w:spacing w:after="160" w:before="320"/>
      </w:pPr>
      <w:r>
        <w:t xml:space="preserve">Element 4 — CBAM Production Processes and Routes</w:t>
      </w:r>
    </w:p>
    <w:p>
      <w:pPr>
        <w:spacing w:after="140"/>
      </w:pPr>
      <w:r>
        <w:t xml:space="preserve">List all CBAM production processes and routes carried out at the installation, and the goods delivered by each.</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Production process 1</w:t>
            </w:r>
          </w:p>
        </w:tc>
        <w:tc>
          <w:tcPr>
            <w:tcW w:type="dxa" w:w="6300"/>
            <w:tcMar>
              <w:top w:type="dxa" w:w="80"/>
              <w:left w:type="dxa" w:w="100"/>
              <w:bottom w:type="dxa" w:w="80"/>
              <w:right w:type="dxa" w:w="100"/>
            </w:tcMar>
          </w:tcPr>
          <w:p>
            <w:r>
              <w:rPr>
                <w:b w:val="false"/>
                <w:bCs w:val="false"/>
              </w:rPr>
              <w:t xml:space="preserve">[ e.g. Primary smelting — electrolysis (Hall-Héroult) ]</w:t>
            </w:r>
          </w:p>
        </w:tc>
      </w:tr>
      <w:tr>
        <w:tc>
          <w:tcPr>
            <w:tcW w:type="dxa" w:w="3200"/>
            <w:shd w:fill="F2F2F2" w:val="clear"/>
            <w:tcMar>
              <w:top w:type="dxa" w:w="80"/>
              <w:left w:type="dxa" w:w="100"/>
              <w:bottom w:type="dxa" w:w="80"/>
              <w:right w:type="dxa" w:w="100"/>
            </w:tcMar>
          </w:tcPr>
          <w:p>
            <w:r>
              <w:rPr>
                <w:b/>
                <w:bCs/>
              </w:rPr>
              <w:t xml:space="preserve">Goods delivered</w:t>
            </w:r>
          </w:p>
        </w:tc>
        <w:tc>
          <w:tcPr>
            <w:tcW w:type="dxa" w:w="6300"/>
            <w:tcMar>
              <w:top w:type="dxa" w:w="80"/>
              <w:left w:type="dxa" w:w="100"/>
              <w:bottom w:type="dxa" w:w="80"/>
              <w:right w:type="dxa" w:w="100"/>
            </w:tcMar>
          </w:tcPr>
          <w:p>
            <w:r>
              <w:rPr>
                <w:b w:val="false"/>
                <w:bCs w:val="false"/>
              </w:rPr>
              <w:t xml:space="preserve">[ Insert goods ]</w:t>
            </w:r>
          </w:p>
        </w:tc>
      </w:tr>
      <w:tr>
        <w:tc>
          <w:tcPr>
            <w:tcW w:type="dxa" w:w="3200"/>
            <w:shd w:fill="F2F2F2" w:val="clear"/>
            <w:tcMar>
              <w:top w:type="dxa" w:w="80"/>
              <w:left w:type="dxa" w:w="100"/>
              <w:bottom w:type="dxa" w:w="80"/>
              <w:right w:type="dxa" w:w="100"/>
            </w:tcMar>
          </w:tcPr>
          <w:p>
            <w:r>
              <w:rPr>
                <w:b/>
                <w:bCs/>
              </w:rPr>
              <w:t xml:space="preserve">Production process 2</w:t>
            </w:r>
          </w:p>
        </w:tc>
        <w:tc>
          <w:tcPr>
            <w:tcW w:type="dxa" w:w="6300"/>
            <w:tcMar>
              <w:top w:type="dxa" w:w="80"/>
              <w:left w:type="dxa" w:w="100"/>
              <w:bottom w:type="dxa" w:w="80"/>
              <w:right w:type="dxa" w:w="100"/>
            </w:tcMar>
          </w:tcPr>
          <w:p>
            <w:r>
              <w:rPr>
                <w:b w:val="false"/>
                <w:bCs w:val="false"/>
              </w:rPr>
              <w:t xml:space="preserve">[ e.g. Secondary melting (recycling) ]</w:t>
            </w:r>
          </w:p>
        </w:tc>
      </w:tr>
      <w:tr>
        <w:tc>
          <w:tcPr>
            <w:tcW w:type="dxa" w:w="3200"/>
            <w:shd w:fill="F2F2F2" w:val="clear"/>
            <w:tcMar>
              <w:top w:type="dxa" w:w="80"/>
              <w:left w:type="dxa" w:w="100"/>
              <w:bottom w:type="dxa" w:w="80"/>
              <w:right w:type="dxa" w:w="100"/>
            </w:tcMar>
          </w:tcPr>
          <w:p>
            <w:r>
              <w:rPr>
                <w:b/>
                <w:bCs/>
              </w:rPr>
              <w:t xml:space="preserve">Goods delivered</w:t>
            </w:r>
          </w:p>
        </w:tc>
        <w:tc>
          <w:tcPr>
            <w:tcW w:type="dxa" w:w="6300"/>
            <w:tcMar>
              <w:top w:type="dxa" w:w="80"/>
              <w:left w:type="dxa" w:w="100"/>
              <w:bottom w:type="dxa" w:w="80"/>
              <w:right w:type="dxa" w:w="100"/>
            </w:tcMar>
          </w:tcPr>
          <w:p>
            <w:r>
              <w:rPr>
                <w:b w:val="false"/>
                <w:bCs w:val="false"/>
              </w:rPr>
              <w:t xml:space="preserve">[ Insert goods, or 'Not applicable' ]</w:t>
            </w:r>
          </w:p>
        </w:tc>
      </w:tr>
      <w:tr>
        <w:tc>
          <w:tcPr>
            <w:tcW w:type="dxa" w:w="3200"/>
            <w:shd w:fill="F2F2F2" w:val="clear"/>
            <w:tcMar>
              <w:top w:type="dxa" w:w="80"/>
              <w:left w:type="dxa" w:w="100"/>
              <w:bottom w:type="dxa" w:w="80"/>
              <w:right w:type="dxa" w:w="100"/>
            </w:tcMar>
          </w:tcPr>
          <w:p>
            <w:r>
              <w:rPr>
                <w:b/>
                <w:bCs/>
              </w:rPr>
              <w:t xml:space="preserve">Production process 3</w:t>
            </w:r>
          </w:p>
        </w:tc>
        <w:tc>
          <w:tcPr>
            <w:tcW w:type="dxa" w:w="6300"/>
            <w:tcMar>
              <w:top w:type="dxa" w:w="80"/>
              <w:left w:type="dxa" w:w="100"/>
              <w:bottom w:type="dxa" w:w="80"/>
              <w:right w:type="dxa" w:w="100"/>
            </w:tcMar>
          </w:tcPr>
          <w:p>
            <w:r>
              <w:rPr>
                <w:b w:val="false"/>
                <w:bCs w:val="false"/>
              </w:rPr>
              <w:t xml:space="preserve">[ e.g. Casting / downstream products ]</w:t>
            </w:r>
          </w:p>
        </w:tc>
      </w:tr>
      <w:tr>
        <w:tc>
          <w:tcPr>
            <w:tcW w:type="dxa" w:w="3200"/>
            <w:shd w:fill="F2F2F2" w:val="clear"/>
            <w:tcMar>
              <w:top w:type="dxa" w:w="80"/>
              <w:left w:type="dxa" w:w="100"/>
              <w:bottom w:type="dxa" w:w="80"/>
              <w:right w:type="dxa" w:w="100"/>
            </w:tcMar>
          </w:tcPr>
          <w:p>
            <w:r>
              <w:rPr>
                <w:b/>
                <w:bCs/>
              </w:rPr>
              <w:t xml:space="preserve">Goods delivered</w:t>
            </w:r>
          </w:p>
        </w:tc>
        <w:tc>
          <w:tcPr>
            <w:tcW w:type="dxa" w:w="6300"/>
            <w:tcMar>
              <w:top w:type="dxa" w:w="80"/>
              <w:left w:type="dxa" w:w="100"/>
              <w:bottom w:type="dxa" w:w="80"/>
              <w:right w:type="dxa" w:w="100"/>
            </w:tcMar>
          </w:tcPr>
          <w:p>
            <w:r>
              <w:rPr>
                <w:b w:val="false"/>
                <w:bCs w:val="false"/>
              </w:rPr>
              <w:t xml:space="preserve">[ Insert goods ]</w:t>
            </w:r>
          </w:p>
        </w:tc>
      </w:tr>
    </w:tbl>
    <w:p>
      <w:pPr>
        <w:pStyle w:val="Heading1"/>
        <w:spacing w:after="160" w:before="320"/>
      </w:pPr>
      <w:r>
        <w:t xml:space="preserve">Element 5 — Non-CBAM Goods Produced (if relevant)</w:t>
      </w:r>
    </w:p>
    <w:p>
      <w:pPr>
        <w:spacing w:after="140"/>
      </w:pPr>
      <w:r>
        <w:t xml:space="preserve">List any non-CBAM goods produced per production process and their quantity, where relevant.</w:t>
      </w:r>
    </w:p>
    <w:p>
      <w:pPr>
        <w:spacing w:after="160"/>
      </w:pPr>
      <w:r>
        <w:rPr>
          <w:i/>
          <w:iCs/>
          <w:color w:val="808080"/>
        </w:rPr>
        <w:t xml:space="preserve">[ List non-CBAM goods and quantities, or state 'Not applicable' ]</w:t>
      </w:r>
    </w:p>
    <w:p>
      <w:pPr>
        <w:pStyle w:val="Heading1"/>
        <w:spacing w:after="160" w:before="320"/>
      </w:pPr>
      <w:r>
        <w:t xml:space="preserve">Element 6 — Relevant CBAM Benchmarks</w:t>
      </w:r>
    </w:p>
    <w:p>
      <w:pPr>
        <w:spacing w:after="140"/>
      </w:pPr>
      <w:r>
        <w:t xml:space="preserve">List the relevant CBAM benchmarks to be used for the determination of the free allocation adjustment, for all relevant goods produced.</w:t>
      </w:r>
    </w:p>
    <w:p>
      <w:pPr>
        <w:spacing w:after="160"/>
      </w:pPr>
      <w:r>
        <w:rPr>
          <w:i/>
          <w:iCs/>
          <w:color w:val="808080"/>
        </w:rPr>
        <w:t xml:space="preserve">[ Insert applicable benchmark(s) per good, referencing the current CBAM benchmark values published by the Commission ]</w:t>
      </w:r>
    </w:p>
    <w:p>
      <w:pPr>
        <w:pStyle w:val="Heading1"/>
        <w:spacing w:after="160" w:before="320"/>
      </w:pPr>
      <w:r>
        <w:t xml:space="preserve">Element 7 — Monitoring Methods per Production Process</w:t>
      </w:r>
    </w:p>
    <w:p>
      <w:pPr>
        <w:spacing w:after="140"/>
      </w:pPr>
      <w:r>
        <w:t xml:space="preserve">For each production process, describe either (a) the calculation-based methodology, including input data and calculation formulae, or (b) the measurement systems used and the exact location of measuring instruments for each source stream.</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Production process</w:t>
            </w:r>
          </w:p>
        </w:tc>
        <w:tc>
          <w:tcPr>
            <w:tcW w:type="dxa" w:w="6300"/>
            <w:tcMar>
              <w:top w:type="dxa" w:w="80"/>
              <w:left w:type="dxa" w:w="100"/>
              <w:bottom w:type="dxa" w:w="80"/>
              <w:right w:type="dxa" w:w="100"/>
            </w:tcMar>
          </w:tcPr>
          <w:p>
            <w:r>
              <w:rPr>
                <w:b w:val="false"/>
                <w:bCs w:val="false"/>
              </w:rPr>
              <w:t xml:space="preserve">[ Insert ]</w:t>
            </w:r>
          </w:p>
        </w:tc>
      </w:tr>
      <w:tr>
        <w:tc>
          <w:tcPr>
            <w:tcW w:type="dxa" w:w="3200"/>
            <w:shd w:fill="F2F2F2" w:val="clear"/>
            <w:tcMar>
              <w:top w:type="dxa" w:w="80"/>
              <w:left w:type="dxa" w:w="100"/>
              <w:bottom w:type="dxa" w:w="80"/>
              <w:right w:type="dxa" w:w="100"/>
            </w:tcMar>
          </w:tcPr>
          <w:p>
            <w:r>
              <w:rPr>
                <w:b/>
                <w:bCs/>
              </w:rPr>
              <w:t xml:space="preserve">Methodology chosen</w:t>
            </w:r>
          </w:p>
        </w:tc>
        <w:tc>
          <w:tcPr>
            <w:tcW w:type="dxa" w:w="6300"/>
            <w:tcMar>
              <w:top w:type="dxa" w:w="80"/>
              <w:left w:type="dxa" w:w="100"/>
              <w:bottom w:type="dxa" w:w="80"/>
              <w:right w:type="dxa" w:w="100"/>
            </w:tcMar>
          </w:tcPr>
          <w:p>
            <w:r>
              <w:rPr>
                <w:b w:val="false"/>
                <w:bCs w:val="false"/>
              </w:rPr>
              <w:t xml:space="preserve">[ Calculation-based / Measurement-based (CEMS) ]</w:t>
            </w:r>
          </w:p>
        </w:tc>
      </w:tr>
      <w:tr>
        <w:tc>
          <w:tcPr>
            <w:tcW w:type="dxa" w:w="3200"/>
            <w:shd w:fill="F2F2F2" w:val="clear"/>
            <w:tcMar>
              <w:top w:type="dxa" w:w="80"/>
              <w:left w:type="dxa" w:w="100"/>
              <w:bottom w:type="dxa" w:w="80"/>
              <w:right w:type="dxa" w:w="100"/>
            </w:tcMar>
          </w:tcPr>
          <w:p>
            <w:r>
              <w:rPr>
                <w:b/>
                <w:bCs/>
              </w:rPr>
              <w:t xml:space="preserve">Description (formulae, or instrument locations)</w:t>
            </w:r>
          </w:p>
        </w:tc>
        <w:tc>
          <w:tcPr>
            <w:tcW w:type="dxa" w:w="6300"/>
            <w:tcMar>
              <w:top w:type="dxa" w:w="80"/>
              <w:left w:type="dxa" w:w="100"/>
              <w:bottom w:type="dxa" w:w="80"/>
              <w:right w:type="dxa" w:w="100"/>
            </w:tcMar>
          </w:tcPr>
          <w:p>
            <w:r>
              <w:rPr>
                <w:b w:val="false"/>
                <w:bCs w:val="false"/>
              </w:rPr>
              <w:t xml:space="preserve">[ Insert detail ]</w:t>
            </w:r>
          </w:p>
        </w:tc>
      </w:tr>
    </w:tbl>
    <w:p>
      <w:pPr>
        <w:pStyle w:val="Heading1"/>
        <w:spacing w:after="160" w:before="320"/>
      </w:pPr>
      <w:r>
        <w:t xml:space="preserve">Element 8 — Calculation Factors and Sampling Plan</w:t>
      </w:r>
    </w:p>
    <w:p>
      <w:pPr>
        <w:spacing w:after="140"/>
      </w:pPr>
      <w:r>
        <w:t xml:space="preserve">Describe the methods for determining calculation factors (emission factor, NCV, oxidation factor, carbon content, etc.) and the sampling plan for each source stream, if applicable.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Source stream</w:t>
            </w:r>
          </w:p>
        </w:tc>
        <w:tc>
          <w:tcPr>
            <w:tcW w:type="dxa" w:w="6300"/>
            <w:tcMar>
              <w:top w:type="dxa" w:w="80"/>
              <w:left w:type="dxa" w:w="100"/>
              <w:bottom w:type="dxa" w:w="80"/>
              <w:right w:type="dxa" w:w="100"/>
            </w:tcMar>
          </w:tcPr>
          <w:p>
            <w:r>
              <w:rPr>
                <w:b w:val="false"/>
                <w:bCs w:val="false"/>
              </w:rPr>
              <w:t xml:space="preserve">[ e.g. Anode carbon, natural gas ]</w:t>
            </w:r>
          </w:p>
        </w:tc>
      </w:tr>
      <w:tr>
        <w:tc>
          <w:tcPr>
            <w:tcW w:type="dxa" w:w="3200"/>
            <w:shd w:fill="F2F2F2" w:val="clear"/>
            <w:tcMar>
              <w:top w:type="dxa" w:w="80"/>
              <w:left w:type="dxa" w:w="100"/>
              <w:bottom w:type="dxa" w:w="80"/>
              <w:right w:type="dxa" w:w="100"/>
            </w:tcMar>
          </w:tcPr>
          <w:p>
            <w:r>
              <w:rPr>
                <w:b/>
                <w:bCs/>
              </w:rPr>
              <w:t xml:space="preserve">Calculation factor source</w:t>
            </w:r>
          </w:p>
        </w:tc>
        <w:tc>
          <w:tcPr>
            <w:tcW w:type="dxa" w:w="6300"/>
            <w:tcMar>
              <w:top w:type="dxa" w:w="80"/>
              <w:left w:type="dxa" w:w="100"/>
              <w:bottom w:type="dxa" w:w="80"/>
              <w:right w:type="dxa" w:w="100"/>
            </w:tcMar>
          </w:tcPr>
          <w:p>
            <w:r>
              <w:rPr>
                <w:b w:val="false"/>
                <w:bCs w:val="false"/>
              </w:rPr>
              <w:t xml:space="preserve">[ Standard value / laboratory analysis / supplier data ]</w:t>
            </w:r>
          </w:p>
        </w:tc>
      </w:tr>
      <w:tr>
        <w:tc>
          <w:tcPr>
            <w:tcW w:type="dxa" w:w="3200"/>
            <w:shd w:fill="F2F2F2" w:val="clear"/>
            <w:tcMar>
              <w:top w:type="dxa" w:w="80"/>
              <w:left w:type="dxa" w:w="100"/>
              <w:bottom w:type="dxa" w:w="80"/>
              <w:right w:type="dxa" w:w="100"/>
            </w:tcMar>
          </w:tcPr>
          <w:p>
            <w:r>
              <w:rPr>
                <w:b/>
                <w:bCs/>
              </w:rPr>
              <w:t xml:space="preserve">Sampling frequency</w:t>
            </w:r>
          </w:p>
        </w:tc>
        <w:tc>
          <w:tcPr>
            <w:tcW w:type="dxa" w:w="6300"/>
            <w:tcMar>
              <w:top w:type="dxa" w:w="80"/>
              <w:left w:type="dxa" w:w="100"/>
              <w:bottom w:type="dxa" w:w="80"/>
              <w:right w:type="dxa" w:w="100"/>
            </w:tcMar>
          </w:tcPr>
          <w:p>
            <w:r>
              <w:rPr>
                <w:b w:val="false"/>
                <w:bCs w:val="false"/>
              </w:rPr>
              <w:t xml:space="preserve">[ Continuous / per batch / per delivery ]</w:t>
            </w:r>
          </w:p>
        </w:tc>
      </w:tr>
    </w:tbl>
    <w:p>
      <w:pPr>
        <w:pStyle w:val="Heading1"/>
        <w:spacing w:after="160" w:before="320"/>
      </w:pPr>
      <w:r>
        <w:t xml:space="preserve">Element 9 — Source Streams and Emission Sources</w:t>
      </w:r>
    </w:p>
    <w:p>
      <w:pPr>
        <w:spacing w:after="140"/>
      </w:pPr>
      <w:r>
        <w:t xml:space="preserve">List and describe all source streams and emission sources for each production process.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Production process</w:t>
            </w:r>
          </w:p>
        </w:tc>
        <w:tc>
          <w:tcPr>
            <w:tcW w:type="dxa" w:w="6300"/>
            <w:tcMar>
              <w:top w:type="dxa" w:w="80"/>
              <w:left w:type="dxa" w:w="100"/>
              <w:bottom w:type="dxa" w:w="80"/>
              <w:right w:type="dxa" w:w="100"/>
            </w:tcMar>
          </w:tcPr>
          <w:p>
            <w:r>
              <w:rPr>
                <w:b w:val="false"/>
                <w:bCs w:val="false"/>
              </w:rPr>
              <w:t xml:space="preserve">[ Insert ]</w:t>
            </w:r>
          </w:p>
        </w:tc>
      </w:tr>
      <w:tr>
        <w:tc>
          <w:tcPr>
            <w:tcW w:type="dxa" w:w="3200"/>
            <w:shd w:fill="F2F2F2" w:val="clear"/>
            <w:tcMar>
              <w:top w:type="dxa" w:w="80"/>
              <w:left w:type="dxa" w:w="100"/>
              <w:bottom w:type="dxa" w:w="80"/>
              <w:right w:type="dxa" w:w="100"/>
            </w:tcMar>
          </w:tcPr>
          <w:p>
            <w:r>
              <w:rPr>
                <w:b/>
                <w:bCs/>
              </w:rPr>
              <w:t xml:space="preserve">Source streams / emission sources</w:t>
            </w:r>
          </w:p>
        </w:tc>
        <w:tc>
          <w:tcPr>
            <w:tcW w:type="dxa" w:w="6300"/>
            <w:tcMar>
              <w:top w:type="dxa" w:w="80"/>
              <w:left w:type="dxa" w:w="100"/>
              <w:bottom w:type="dxa" w:w="80"/>
              <w:right w:type="dxa" w:w="100"/>
            </w:tcMar>
          </w:tcPr>
          <w:p>
            <w:r>
              <w:rPr>
                <w:b w:val="false"/>
                <w:bCs w:val="false"/>
              </w:rPr>
              <w:t xml:space="preserve">[ e.g. Anode carbon consumption, natural gas combustion, PFC from anode effects ]</w:t>
            </w:r>
          </w:p>
        </w:tc>
      </w:tr>
    </w:tbl>
    <w:p>
      <w:pPr>
        <w:pStyle w:val="Heading1"/>
        <w:spacing w:after="160" w:before="320"/>
      </w:pPr>
      <w:r>
        <w:t xml:space="preserve">Element 10 — Standard Method / Mass Balance Source Streams</w:t>
      </w:r>
    </w:p>
    <w:p>
      <w:pPr>
        <w:spacing w:after="140"/>
      </w:pPr>
      <w:r>
        <w:t xml:space="preserve">List source streams for which the calculation-based standard method or the mass balance method is used, with the detailed determination of each relevant parameter.</w:t>
      </w:r>
    </w:p>
    <w:p>
      <w:pPr>
        <w:spacing w:after="160"/>
      </w:pPr>
      <w:r>
        <w:rPr>
          <w:i/>
          <w:iCs/>
          <w:color w:val="808080"/>
        </w:rPr>
        <w:t xml:space="preserve">[ List source streams, method used (standard / mass balance), and parameter determination detail per stream ]</w:t>
      </w:r>
    </w:p>
    <w:p>
      <w:pPr>
        <w:pStyle w:val="Heading1"/>
        <w:spacing w:after="160" w:before="320"/>
      </w:pPr>
      <w:r>
        <w:t xml:space="preserve">Element 11 — Measurement-Based Emission Sources</w:t>
      </w:r>
    </w:p>
    <w:p>
      <w:pPr>
        <w:spacing w:after="140"/>
      </w:pPr>
      <w:r>
        <w:t xml:space="preserve">List emission sources for which a measurement-based methodology (CEMS) is used, with all relevant elements described (instrument type, location, calibration).</w:t>
      </w:r>
    </w:p>
    <w:p>
      <w:pPr>
        <w:spacing w:after="160"/>
      </w:pPr>
      <w:r>
        <w:rPr>
          <w:i/>
          <w:iCs/>
          <w:color w:val="808080"/>
        </w:rPr>
        <w:t xml:space="preserve">[ List emission sources using CEMS, or state 'Not applicable — calculation-based methodology used throughout' ]</w:t>
      </w:r>
    </w:p>
    <w:p>
      <w:pPr>
        <w:pStyle w:val="Heading1"/>
        <w:spacing w:after="160" w:before="320"/>
      </w:pPr>
      <w:r>
        <w:t xml:space="preserve">Element 12 — PFC Emissions from Primary Aluminium Production</w:t>
      </w:r>
    </w:p>
    <w:p>
      <w:pPr>
        <w:spacing w:after="140"/>
      </w:pPr>
      <w:r>
        <w:t xml:space="preserve">Describe the monitoring methodology for perfluorocarbon (PFC) emissions from primary aluminium production, determined using the overvoltage method — the compulsory methodology for this emission source.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Anode effect frequency (AEF)</w:t>
            </w:r>
          </w:p>
        </w:tc>
        <w:tc>
          <w:tcPr>
            <w:tcW w:type="dxa" w:w="6300"/>
            <w:tcMar>
              <w:top w:type="dxa" w:w="80"/>
              <w:left w:type="dxa" w:w="100"/>
              <w:bottom w:type="dxa" w:w="80"/>
              <w:right w:type="dxa" w:w="100"/>
            </w:tcMar>
          </w:tcPr>
          <w:p>
            <w:r>
              <w:rPr>
                <w:b w:val="false"/>
                <w:bCs w:val="false"/>
              </w:rPr>
              <w:t xml:space="preserve">[ Insert monitored value / method ]</w:t>
            </w:r>
          </w:p>
        </w:tc>
      </w:tr>
      <w:tr>
        <w:tc>
          <w:tcPr>
            <w:tcW w:type="dxa" w:w="3200"/>
            <w:shd w:fill="F2F2F2" w:val="clear"/>
            <w:tcMar>
              <w:top w:type="dxa" w:w="80"/>
              <w:left w:type="dxa" w:w="100"/>
              <w:bottom w:type="dxa" w:w="80"/>
              <w:right w:type="dxa" w:w="100"/>
            </w:tcMar>
          </w:tcPr>
          <w:p>
            <w:r>
              <w:rPr>
                <w:b/>
                <w:bCs/>
              </w:rPr>
              <w:t xml:space="preserve">Anode effect duration (AED)</w:t>
            </w:r>
          </w:p>
        </w:tc>
        <w:tc>
          <w:tcPr>
            <w:tcW w:type="dxa" w:w="6300"/>
            <w:tcMar>
              <w:top w:type="dxa" w:w="80"/>
              <w:left w:type="dxa" w:w="100"/>
              <w:bottom w:type="dxa" w:w="80"/>
              <w:right w:type="dxa" w:w="100"/>
            </w:tcMar>
          </w:tcPr>
          <w:p>
            <w:r>
              <w:rPr>
                <w:b w:val="false"/>
                <w:bCs w:val="false"/>
              </w:rPr>
              <w:t xml:space="preserve">[ Insert monitored value / method ]</w:t>
            </w:r>
          </w:p>
        </w:tc>
      </w:tr>
      <w:tr>
        <w:tc>
          <w:tcPr>
            <w:tcW w:type="dxa" w:w="3200"/>
            <w:shd w:fill="F2F2F2" w:val="clear"/>
            <w:tcMar>
              <w:top w:type="dxa" w:w="80"/>
              <w:left w:type="dxa" w:w="100"/>
              <w:bottom w:type="dxa" w:w="80"/>
              <w:right w:type="dxa" w:w="100"/>
            </w:tcMar>
          </w:tcPr>
          <w:p>
            <w:r>
              <w:rPr>
                <w:b/>
                <w:bCs/>
              </w:rPr>
              <w:t xml:space="preserve">Overvoltage coefficient / slope</w:t>
            </w:r>
          </w:p>
        </w:tc>
        <w:tc>
          <w:tcPr>
            <w:tcW w:type="dxa" w:w="6300"/>
            <w:tcMar>
              <w:top w:type="dxa" w:w="80"/>
              <w:left w:type="dxa" w:w="100"/>
              <w:bottom w:type="dxa" w:w="80"/>
              <w:right w:type="dxa" w:w="100"/>
            </w:tcMar>
          </w:tcPr>
          <w:p>
            <w:r>
              <w:rPr>
                <w:b w:val="false"/>
                <w:bCs w:val="false"/>
              </w:rPr>
              <w:t xml:space="preserve">[ Insert value used and source ]</w:t>
            </w:r>
          </w:p>
        </w:tc>
      </w:tr>
      <w:tr>
        <w:tc>
          <w:tcPr>
            <w:tcW w:type="dxa" w:w="3200"/>
            <w:shd w:fill="F2F2F2" w:val="clear"/>
            <w:tcMar>
              <w:top w:type="dxa" w:w="80"/>
              <w:left w:type="dxa" w:w="100"/>
              <w:bottom w:type="dxa" w:w="80"/>
              <w:right w:type="dxa" w:w="100"/>
            </w:tcMar>
          </w:tcPr>
          <w:p>
            <w:r>
              <w:rPr>
                <w:b/>
                <w:bCs/>
              </w:rPr>
              <w:t xml:space="preserve">Current efficiency</w:t>
            </w:r>
          </w:p>
        </w:tc>
        <w:tc>
          <w:tcPr>
            <w:tcW w:type="dxa" w:w="6300"/>
            <w:tcMar>
              <w:top w:type="dxa" w:w="80"/>
              <w:left w:type="dxa" w:w="100"/>
              <w:bottom w:type="dxa" w:w="80"/>
              <w:right w:type="dxa" w:w="100"/>
            </w:tcMar>
          </w:tcPr>
          <w:p>
            <w:r>
              <w:rPr>
                <w:b w:val="false"/>
                <w:bCs w:val="false"/>
              </w:rPr>
              <w:t xml:space="preserve">[ Insert monitored value / method ]</w:t>
            </w:r>
          </w:p>
        </w:tc>
      </w:tr>
      <w:tr>
        <w:tc>
          <w:tcPr>
            <w:tcW w:type="dxa" w:w="3200"/>
            <w:shd w:fill="F2F2F2" w:val="clear"/>
            <w:tcMar>
              <w:top w:type="dxa" w:w="80"/>
              <w:left w:type="dxa" w:w="100"/>
              <w:bottom w:type="dxa" w:w="80"/>
              <w:right w:type="dxa" w:w="100"/>
            </w:tcMar>
          </w:tcPr>
          <w:p>
            <w:r>
              <w:rPr>
                <w:b/>
                <w:bCs/>
              </w:rPr>
              <w:t xml:space="preserve">CF4 and C2F6 emission factors applied</w:t>
            </w:r>
          </w:p>
        </w:tc>
        <w:tc>
          <w:tcPr>
            <w:tcW w:type="dxa" w:w="6300"/>
            <w:tcMar>
              <w:top w:type="dxa" w:w="80"/>
              <w:left w:type="dxa" w:w="100"/>
              <w:bottom w:type="dxa" w:w="80"/>
              <w:right w:type="dxa" w:w="100"/>
            </w:tcMar>
          </w:tcPr>
          <w:p>
            <w:r>
              <w:rPr>
                <w:b w:val="false"/>
                <w:bCs w:val="false"/>
              </w:rPr>
              <w:t xml:space="preserve">[ Insert values and source ]</w:t>
            </w:r>
          </w:p>
        </w:tc>
      </w:tr>
    </w:tbl>
    <w:p>
      <w:pPr>
        <w:pBdr>
          <w:left w:val="single" w:color="1F3864" w:sz="12" w:space="8"/>
        </w:pBdr>
        <w:spacing w:after="200"/>
        <w:ind w:left="120"/>
      </w:pPr>
      <w:r>
        <w:rPr>
          <w:i/>
          <w:iCs/>
          <w:color w:val="555555"/>
          <w:sz w:val="20"/>
          <w:szCs w:val="20"/>
        </w:rPr>
        <w:t xml:space="preserve">Note: If the installation uses secondary (recycling) aluminium production only, mark this element 'Not applicable' — the overvoltage method applies specifically to primary (electrolytic) production.</w:t>
      </w:r>
    </w:p>
    <w:p>
      <w:pPr>
        <w:pStyle w:val="Heading1"/>
        <w:spacing w:after="160" w:before="320"/>
      </w:pPr>
      <w:r>
        <w:t xml:space="preserve">Element 13 — Installation Diagram and System Boundaries</w:t>
      </w:r>
    </w:p>
    <w:p>
      <w:pPr>
        <w:spacing w:after="140"/>
      </w:pPr>
      <w:r>
        <w:t xml:space="preserve">Provide a suitable diagram and process description of the installation, including the system boundaries of the installation and different production processes, demonstrating that there is neither double counting nor data gaps.</w:t>
      </w:r>
    </w:p>
    <w:p>
      <w:pPr>
        <w:spacing w:after="160"/>
      </w:pPr>
      <w:r>
        <w:rPr>
          <w:i/>
          <w:iCs/>
          <w:color w:val="808080"/>
        </w:rPr>
        <w:t xml:space="preserve">[ Insert process flow diagram showing production processes, input materials, precursors, and emission sources ]</w:t>
      </w:r>
    </w:p>
    <w:p>
      <w:pPr>
        <w:pStyle w:val="Heading1"/>
        <w:spacing w:after="160" w:before="320"/>
      </w:pPr>
      <w:r>
        <w:t xml:space="preserve">Element 14 — Precursors Used per Production Process</w:t>
      </w:r>
    </w:p>
    <w:p>
      <w:pPr>
        <w:spacing w:after="140"/>
      </w:pPr>
      <w:r>
        <w:t xml:space="preserve">List the precursors used in each production process and, if produced in another installation, the name and country of origin of their suppliers.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Precursor material</w:t>
            </w:r>
          </w:p>
        </w:tc>
        <w:tc>
          <w:tcPr>
            <w:tcW w:type="dxa" w:w="6300"/>
            <w:tcMar>
              <w:top w:type="dxa" w:w="80"/>
              <w:left w:type="dxa" w:w="100"/>
              <w:bottom w:type="dxa" w:w="80"/>
              <w:right w:type="dxa" w:w="100"/>
            </w:tcMar>
          </w:tcPr>
          <w:p>
            <w:r>
              <w:rPr>
                <w:b w:val="false"/>
                <w:bCs w:val="false"/>
              </w:rPr>
              <w:t xml:space="preserve">[ e.g. Prebaked anodes, alumina ]</w:t>
            </w:r>
          </w:p>
        </w:tc>
      </w:tr>
      <w:tr>
        <w:tc>
          <w:tcPr>
            <w:tcW w:type="dxa" w:w="3200"/>
            <w:shd w:fill="F2F2F2" w:val="clear"/>
            <w:tcMar>
              <w:top w:type="dxa" w:w="80"/>
              <w:left w:type="dxa" w:w="100"/>
              <w:bottom w:type="dxa" w:w="80"/>
              <w:right w:type="dxa" w:w="100"/>
            </w:tcMar>
          </w:tcPr>
          <w:p>
            <w:r>
              <w:rPr>
                <w:b/>
                <w:bCs/>
              </w:rPr>
              <w:t xml:space="preserve">Produced in-house or purchased</w:t>
            </w:r>
          </w:p>
        </w:tc>
        <w:tc>
          <w:tcPr>
            <w:tcW w:type="dxa" w:w="6300"/>
            <w:tcMar>
              <w:top w:type="dxa" w:w="80"/>
              <w:left w:type="dxa" w:w="100"/>
              <w:bottom w:type="dxa" w:w="80"/>
              <w:right w:type="dxa" w:w="100"/>
            </w:tcMar>
          </w:tcPr>
          <w:p>
            <w:r>
              <w:rPr>
                <w:b w:val="false"/>
                <w:bCs w:val="false"/>
              </w:rPr>
              <w:t xml:space="preserve">[ In-house / Purchased ]</w:t>
            </w:r>
          </w:p>
        </w:tc>
      </w:tr>
      <w:tr>
        <w:tc>
          <w:tcPr>
            <w:tcW w:type="dxa" w:w="3200"/>
            <w:shd w:fill="F2F2F2" w:val="clear"/>
            <w:tcMar>
              <w:top w:type="dxa" w:w="80"/>
              <w:left w:type="dxa" w:w="100"/>
              <w:bottom w:type="dxa" w:w="80"/>
              <w:right w:type="dxa" w:w="100"/>
            </w:tcMar>
          </w:tcPr>
          <w:p>
            <w:r>
              <w:rPr>
                <w:b/>
                <w:bCs/>
              </w:rPr>
              <w:t xml:space="preserve">If purchased — supplier name and country</w:t>
            </w:r>
          </w:p>
        </w:tc>
        <w:tc>
          <w:tcPr>
            <w:tcW w:type="dxa" w:w="6300"/>
            <w:tcMar>
              <w:top w:type="dxa" w:w="80"/>
              <w:left w:type="dxa" w:w="100"/>
              <w:bottom w:type="dxa" w:w="80"/>
              <w:right w:type="dxa" w:w="100"/>
            </w:tcMar>
          </w:tcPr>
          <w:p>
            <w:r>
              <w:rPr>
                <w:b w:val="false"/>
                <w:bCs w:val="false"/>
              </w:rPr>
              <w:t xml:space="preserve">[ Insert ]</w:t>
            </w:r>
          </w:p>
        </w:tc>
      </w:tr>
    </w:tbl>
    <w:p>
      <w:pPr>
        <w:pStyle w:val="Heading1"/>
        <w:spacing w:after="160" w:before="320"/>
      </w:pPr>
      <w:r>
        <w:t xml:space="preserve">Element 15 — Zero-Rated Fuels</w:t>
      </w:r>
    </w:p>
    <w:p>
      <w:pPr>
        <w:spacing w:after="140"/>
      </w:pPr>
      <w:r>
        <w:t xml:space="preserve">State whether any zero-rated fuels (e.g. qualifying biomass) are used, and how the operator demonstrates the applicability of zero-rating.</w:t>
      </w:r>
    </w:p>
    <w:p>
      <w:pPr>
        <w:spacing w:after="160"/>
      </w:pPr>
      <w:r>
        <w:rPr>
          <w:i/>
          <w:iCs/>
          <w:color w:val="808080"/>
        </w:rPr>
        <w:t xml:space="preserve">[ Describe zero-rated fuels and evidence, or state 'Not applicable' ]</w:t>
      </w:r>
    </w:p>
    <w:p>
      <w:pPr>
        <w:pStyle w:val="Heading1"/>
        <w:spacing w:after="160" w:before="320"/>
      </w:pPr>
      <w:r>
        <w:t xml:space="preserve">Element 16 — Measurable Heat Imported or Exported</w:t>
      </w:r>
    </w:p>
    <w:p>
      <w:pPr>
        <w:spacing w:after="140"/>
      </w:pPr>
      <w:r>
        <w:t xml:space="preserve">State whether measurable heat is imported from or exported to other installations, identify those installations, and describe the method for determining emissions attributed to the heat flows for each production process.</w:t>
      </w:r>
    </w:p>
    <w:p>
      <w:pPr>
        <w:spacing w:after="160"/>
      </w:pPr>
      <w:r>
        <w:rPr>
          <w:i/>
          <w:iCs/>
          <w:color w:val="808080"/>
        </w:rPr>
        <w:t xml:space="preserve">[ Describe heat flows and attribution method, or state 'Not applicable' ]</w:t>
      </w:r>
    </w:p>
    <w:p>
      <w:pPr>
        <w:pStyle w:val="Heading1"/>
        <w:spacing w:after="160" w:before="320"/>
      </w:pPr>
      <w:r>
        <w:t xml:space="preserve">Element 17 — Electricity Production (Indirect Emissions)</w:t>
      </w:r>
    </w:p>
    <w:p>
      <w:pPr>
        <w:spacing w:after="140"/>
      </w:pPr>
      <w:r>
        <w:t xml:space="preserve">State whether electricity is produced inside the installation, and if so, whether it is produced by co-generation or separate generation, from fossil or renewable sources, and whether it is exported from the system boundaries of a production process.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F2F2F2" w:val="clear"/>
            <w:tcMar>
              <w:top w:type="dxa" w:w="80"/>
              <w:left w:type="dxa" w:w="100"/>
              <w:bottom w:type="dxa" w:w="80"/>
              <w:right w:type="dxa" w:w="100"/>
            </w:tcMar>
          </w:tcPr>
          <w:p>
            <w:r>
              <w:rPr>
                <w:b/>
                <w:bCs/>
              </w:rPr>
              <w:t xml:space="preserve">Electricity produced in-house?</w:t>
            </w:r>
          </w:p>
        </w:tc>
        <w:tc>
          <w:tcPr>
            <w:tcW w:type="dxa" w:w="6300"/>
            <w:tcMar>
              <w:top w:type="dxa" w:w="80"/>
              <w:left w:type="dxa" w:w="100"/>
              <w:bottom w:type="dxa" w:w="80"/>
              <w:right w:type="dxa" w:w="100"/>
            </w:tcMar>
          </w:tcPr>
          <w:p>
            <w:r>
              <w:rPr>
                <w:b w:val="false"/>
                <w:bCs w:val="false"/>
              </w:rPr>
              <w:t xml:space="preserve">[ Yes / No ]</w:t>
            </w:r>
          </w:p>
        </w:tc>
      </w:tr>
      <w:tr>
        <w:tc>
          <w:tcPr>
            <w:tcW w:type="dxa" w:w="3200"/>
            <w:shd w:fill="F2F2F2" w:val="clear"/>
            <w:tcMar>
              <w:top w:type="dxa" w:w="80"/>
              <w:left w:type="dxa" w:w="100"/>
              <w:bottom w:type="dxa" w:w="80"/>
              <w:right w:type="dxa" w:w="100"/>
            </w:tcMar>
          </w:tcPr>
          <w:p>
            <w:r>
              <w:rPr>
                <w:b/>
                <w:bCs/>
              </w:rPr>
              <w:t xml:space="preserve">If yes — co-generation or separate generation</w:t>
            </w:r>
          </w:p>
        </w:tc>
        <w:tc>
          <w:tcPr>
            <w:tcW w:type="dxa" w:w="6300"/>
            <w:tcMar>
              <w:top w:type="dxa" w:w="80"/>
              <w:left w:type="dxa" w:w="100"/>
              <w:bottom w:type="dxa" w:w="80"/>
              <w:right w:type="dxa" w:w="100"/>
            </w:tcMar>
          </w:tcPr>
          <w:p>
            <w:r>
              <w:rPr>
                <w:b w:val="false"/>
                <w:bCs w:val="false"/>
              </w:rPr>
              <w:t xml:space="preserve">[ Insert ]</w:t>
            </w:r>
          </w:p>
        </w:tc>
      </w:tr>
      <w:tr>
        <w:tc>
          <w:tcPr>
            <w:tcW w:type="dxa" w:w="3200"/>
            <w:shd w:fill="F2F2F2" w:val="clear"/>
            <w:tcMar>
              <w:top w:type="dxa" w:w="80"/>
              <w:left w:type="dxa" w:w="100"/>
              <w:bottom w:type="dxa" w:w="80"/>
              <w:right w:type="dxa" w:w="100"/>
            </w:tcMar>
          </w:tcPr>
          <w:p>
            <w:r>
              <w:rPr>
                <w:b/>
                <w:bCs/>
              </w:rPr>
              <w:t xml:space="preserve">Fossil or renewable source</w:t>
            </w:r>
          </w:p>
        </w:tc>
        <w:tc>
          <w:tcPr>
            <w:tcW w:type="dxa" w:w="6300"/>
            <w:tcMar>
              <w:top w:type="dxa" w:w="80"/>
              <w:left w:type="dxa" w:w="100"/>
              <w:bottom w:type="dxa" w:w="80"/>
              <w:right w:type="dxa" w:w="100"/>
            </w:tcMar>
          </w:tcPr>
          <w:p>
            <w:r>
              <w:rPr>
                <w:b w:val="false"/>
                <w:bCs w:val="false"/>
              </w:rPr>
              <w:t xml:space="preserve">[ Insert ]</w:t>
            </w:r>
          </w:p>
        </w:tc>
      </w:tr>
      <w:tr>
        <w:tc>
          <w:tcPr>
            <w:tcW w:type="dxa" w:w="3200"/>
            <w:shd w:fill="F2F2F2" w:val="clear"/>
            <w:tcMar>
              <w:top w:type="dxa" w:w="80"/>
              <w:left w:type="dxa" w:w="100"/>
              <w:bottom w:type="dxa" w:w="80"/>
              <w:right w:type="dxa" w:w="100"/>
            </w:tcMar>
          </w:tcPr>
          <w:p>
            <w:r>
              <w:rPr>
                <w:b/>
                <w:bCs/>
              </w:rPr>
              <w:t xml:space="preserve">Exported from production process boundaries?</w:t>
            </w:r>
          </w:p>
        </w:tc>
        <w:tc>
          <w:tcPr>
            <w:tcW w:type="dxa" w:w="6300"/>
            <w:tcMar>
              <w:top w:type="dxa" w:w="80"/>
              <w:left w:type="dxa" w:w="100"/>
              <w:bottom w:type="dxa" w:w="80"/>
              <w:right w:type="dxa" w:w="100"/>
            </w:tcMar>
          </w:tcPr>
          <w:p>
            <w:r>
              <w:rPr>
                <w:b w:val="false"/>
                <w:bCs w:val="false"/>
              </w:rPr>
              <w:t xml:space="preserve">[ Yes / No ]</w:t>
            </w:r>
          </w:p>
        </w:tc>
      </w:tr>
    </w:tbl>
    <w:p>
      <w:pPr>
        <w:pStyle w:val="Heading1"/>
        <w:spacing w:after="160" w:before="320"/>
      </w:pPr>
      <w:r>
        <w:t xml:space="preserve">Element 18 — Evidence for Actual Indirect Emissions (if applicable)</w:t>
      </w:r>
    </w:p>
    <w:p>
      <w:pPr>
        <w:spacing w:after="140"/>
      </w:pPr>
      <w:r>
        <w:t xml:space="preserve">Where indirect emissions are determined on the basis of actual emissions, provide the information needed for the elements of evidence required under Annex II, point D.4.3 of IR 2025/2547 (e.g. smart-metering data, direct technical link, or PPA documentation).</w:t>
      </w:r>
    </w:p>
    <w:p>
      <w:pPr>
        <w:spacing w:after="160"/>
      </w:pPr>
      <w:r>
        <w:rPr>
          <w:i/>
          <w:iCs/>
          <w:color w:val="808080"/>
        </w:rPr>
        <w:t xml:space="preserve">[ Describe evidence and data sources, or state 'Not applicable — default indirect emission values used' ]</w:t>
      </w:r>
    </w:p>
    <w:p>
      <w:pPr>
        <w:pStyle w:val="Heading1"/>
        <w:spacing w:after="160" w:before="320"/>
      </w:pPr>
      <w:r>
        <w:t xml:space="preserve">Element 19 — Evidence for Actual Emissions of Imported Electricity (if applicable)</w:t>
      </w:r>
    </w:p>
    <w:p>
      <w:pPr>
        <w:spacing w:after="140"/>
      </w:pPr>
      <w:r>
        <w:t xml:space="preserve">Where the embedded emissions of electricity imported into the EU are determined on the basis of actual emissions, provide the information needed for the elements of evidence required under Annex II, point D.2.4 of IR 2025/2547, including, where not directly available, how the operator plans to obtain it.</w:t>
      </w:r>
    </w:p>
    <w:p>
      <w:pPr>
        <w:spacing w:after="160"/>
      </w:pPr>
      <w:r>
        <w:rPr>
          <w:i/>
          <w:iCs/>
          <w:color w:val="808080"/>
        </w:rPr>
        <w:t xml:space="preserve">[ Describe evidence and data sources, or state 'Not applicable' ]</w:t>
      </w:r>
    </w:p>
    <w:p>
      <w:pPr>
        <w:pStyle w:val="Heading1"/>
        <w:spacing w:after="160" w:before="320"/>
      </w:pPr>
      <w:r>
        <w:t xml:space="preserve">Element 20 — Waste Gases</w:t>
      </w:r>
    </w:p>
    <w:p>
      <w:pPr>
        <w:spacing w:after="140"/>
      </w:pPr>
      <w:r>
        <w:t xml:space="preserve">State whether waste gases are produced and used in the installation, or imported from or exported to other installations, and identify those installations.</w:t>
      </w:r>
    </w:p>
    <w:p>
      <w:pPr>
        <w:spacing w:after="160"/>
      </w:pPr>
      <w:r>
        <w:rPr>
          <w:i/>
          <w:iCs/>
          <w:color w:val="808080"/>
        </w:rPr>
        <w:t xml:space="preserve">[ Describe waste gas flows, or state 'Not applicable' ]</w:t>
      </w:r>
    </w:p>
    <w:p>
      <w:pPr>
        <w:pStyle w:val="Heading1"/>
        <w:spacing w:after="160" w:before="320"/>
      </w:pPr>
      <w:r>
        <w:t xml:space="preserve">Element 21 — CO2 Capture, Storage and/or Use (if applicable)</w:t>
      </w:r>
    </w:p>
    <w:p>
      <w:pPr>
        <w:spacing w:after="140"/>
      </w:pPr>
      <w:r>
        <w:t xml:space="preserve">Where CO2 capture, storage and/or use applies, provide the identity and contact details of a responsible person at the receiving installation, transport infrastructure, or entity, and describe the monitoring methodology.</w:t>
      </w:r>
    </w:p>
    <w:p>
      <w:pPr>
        <w:spacing w:after="160"/>
      </w:pPr>
      <w:r>
        <w:rPr>
          <w:i/>
          <w:iCs/>
          <w:color w:val="808080"/>
        </w:rPr>
        <w:t xml:space="preserve">[ Describe CCS/CCU arrangements and contacts, or state 'Not applicable' ]</w:t>
      </w:r>
    </w:p>
    <w:p>
      <w:pPr>
        <w:pStyle w:val="Heading1"/>
        <w:spacing w:after="160" w:before="320"/>
      </w:pPr>
      <w:r>
        <w:t xml:space="preserve">Element 22 — Control System for Data Quality</w:t>
      </w:r>
    </w:p>
    <w:p>
      <w:pPr>
        <w:spacing w:after="140"/>
      </w:pPr>
      <w:r>
        <w:t xml:space="preserve">Describe the control system in place to ensure data quality, covering the following where applicable:</w:t>
      </w:r>
    </w:p>
    <w:p>
      <w:pPr>
        <w:pStyle w:val="ListParagraph"/>
        <w:numPr>
          <w:ilvl w:val="0"/>
          <w:numId w:val="2"/>
        </w:numPr>
        <w:spacing w:after="80"/>
      </w:pPr>
      <w:r>
        <w:t xml:space="preserve">Quality assurance of measurement equipment — calibration, adjustment, and checks at regular intervals against traceable measurement standards</w:t>
      </w:r>
    </w:p>
    <w:p>
      <w:pPr>
        <w:pStyle w:val="ListParagraph"/>
        <w:numPr>
          <w:ilvl w:val="0"/>
          <w:numId w:val="2"/>
        </w:numPr>
        <w:spacing w:after="80"/>
      </w:pPr>
      <w:r>
        <w:t xml:space="preserve">Risk assessment identifying sources of error in the data flow from primary data to final data</w:t>
      </w:r>
    </w:p>
    <w:p>
      <w:pPr>
        <w:pStyle w:val="ListParagraph"/>
        <w:numPr>
          <w:ilvl w:val="0"/>
          <w:numId w:val="2"/>
        </w:numPr>
        <w:spacing w:after="80"/>
      </w:pPr>
      <w:r>
        <w:t xml:space="preserve">Quality assurance of IT systems used to process monitoring data</w:t>
      </w:r>
    </w:p>
    <w:p>
      <w:pPr>
        <w:pStyle w:val="ListParagraph"/>
        <w:numPr>
          <w:ilvl w:val="0"/>
          <w:numId w:val="2"/>
        </w:numPr>
        <w:spacing w:after="80"/>
      </w:pPr>
      <w:r>
        <w:t xml:space="preserve">Segregation of duties in data flow and control activities, and management of required competencies</w:t>
      </w:r>
    </w:p>
    <w:p>
      <w:pPr>
        <w:pStyle w:val="ListParagraph"/>
        <w:numPr>
          <w:ilvl w:val="0"/>
          <w:numId w:val="2"/>
        </w:numPr>
        <w:spacing w:after="80"/>
      </w:pPr>
      <w:r>
        <w:t xml:space="preserve">Internal reviews and validation of data</w:t>
      </w:r>
    </w:p>
    <w:p>
      <w:pPr>
        <w:pStyle w:val="ListParagraph"/>
        <w:numPr>
          <w:ilvl w:val="0"/>
          <w:numId w:val="2"/>
        </w:numPr>
        <w:spacing w:after="80"/>
      </w:pPr>
      <w:r>
        <w:t xml:space="preserve">Corrections and corrective action procedures</w:t>
      </w:r>
    </w:p>
    <w:p>
      <w:pPr>
        <w:pStyle w:val="ListParagraph"/>
        <w:numPr>
          <w:ilvl w:val="0"/>
          <w:numId w:val="2"/>
        </w:numPr>
        <w:spacing w:after="80"/>
      </w:pPr>
      <w:r>
        <w:t xml:space="preserve">Control of outsourced processes (e.g. external laboratories)</w:t>
      </w:r>
    </w:p>
    <w:p>
      <w:pPr>
        <w:pStyle w:val="ListParagraph"/>
        <w:numPr>
          <w:ilvl w:val="0"/>
          <w:numId w:val="2"/>
        </w:numPr>
        <w:spacing w:after="80"/>
      </w:pPr>
      <w:r>
        <w:t xml:space="preserve">Recordkeeping and document version control</w:t>
      </w:r>
    </w:p>
    <w:p>
      <w:pPr>
        <w:pBdr>
          <w:left w:val="single" w:color="1F3864" w:sz="12" w:space="8"/>
        </w:pBdr>
        <w:spacing w:after="200"/>
        <w:ind w:left="120"/>
      </w:pPr>
      <w:r>
        <w:rPr>
          <w:i/>
          <w:iCs/>
          <w:color w:val="555555"/>
          <w:sz w:val="20"/>
          <w:szCs w:val="20"/>
        </w:rPr>
        <w:t xml:space="preserve">Note: Records supporting this Monitoring Plan and the underlying data must be kept at the installation for at least six years after the reporting period, per Annex II, point A.2(4) of IR 2025/2547.</w:t>
      </w:r>
    </w:p>
    <w:p>
      <w:pPr>
        <w:pStyle w:val="Heading1"/>
        <w:spacing w:after="160" w:before="320"/>
      </w:pPr>
      <w:r>
        <w:t xml:space="preserve">Review and Version History</w:t>
      </w:r>
    </w:p>
    <w:p>
      <w:pPr>
        <w:spacing w:after="140"/>
      </w:pPr>
      <w:r>
        <w:t xml:space="preserve">This Monitoring Plan should be reviewed at least once per reporting period, and updated whenever the installation's technology, goods produced, or monitoring methods change. Any changes recommended by the verifier should be considered for implementation within a reasonable timeframe.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6300"/>
      </w:tblGrid>
      <w:tr>
        <w:tc>
          <w:tcPr>
            <w:tcW w:type="dxa" w:w="1400"/>
            <w:shd w:fill="F2F2F2" w:val="clear"/>
            <w:tcMar>
              <w:top w:type="dxa" w:w="80"/>
              <w:left w:type="dxa" w:w="100"/>
              <w:bottom w:type="dxa" w:w="80"/>
              <w:right w:type="dxa" w:w="100"/>
            </w:tcMar>
          </w:tcPr>
          <w:p>
            <w:r>
              <w:rPr>
                <w:b/>
                <w:bCs/>
              </w:rPr>
              <w:t xml:space="preserve">Version</w:t>
            </w:r>
          </w:p>
        </w:tc>
        <w:tc>
          <w:tcPr>
            <w:tcW w:type="dxa" w:w="1800"/>
            <w:shd w:fill="F2F2F2" w:val="clear"/>
            <w:tcMar>
              <w:top w:type="dxa" w:w="80"/>
              <w:left w:type="dxa" w:w="100"/>
              <w:bottom w:type="dxa" w:w="80"/>
              <w:right w:type="dxa" w:w="100"/>
            </w:tcMar>
          </w:tcPr>
          <w:p>
            <w:r>
              <w:rPr>
                <w:b/>
                <w:bCs/>
              </w:rPr>
              <w:t xml:space="preserve">Date</w:t>
            </w:r>
          </w:p>
        </w:tc>
        <w:tc>
          <w:tcPr>
            <w:tcW w:type="dxa" w:w="6300"/>
            <w:shd w:fill="F2F2F2" w:val="clear"/>
            <w:tcMar>
              <w:top w:type="dxa" w:w="80"/>
              <w:left w:type="dxa" w:w="100"/>
              <w:bottom w:type="dxa" w:w="80"/>
              <w:right w:type="dxa" w:w="100"/>
            </w:tcMar>
          </w:tcPr>
          <w:p>
            <w:r>
              <w:rPr>
                <w:b/>
                <w:bCs/>
              </w:rPr>
              <w:t xml:space="preserve">Change description</w:t>
            </w:r>
          </w:p>
        </w:tc>
      </w:tr>
      <w:tr>
        <w:tc>
          <w:tcPr>
            <w:tcW w:type="dxa" w:w="1400"/>
            <w:tcMar>
              <w:top w:type="dxa" w:w="80"/>
              <w:left w:type="dxa" w:w="100"/>
              <w:bottom w:type="dxa" w:w="80"/>
              <w:right w:type="dxa" w:w="100"/>
            </w:tcMar>
          </w:tcPr>
          <w:p>
            <w:r>
              <w:rPr>
                <w:b w:val="false"/>
                <w:bCs w:val="false"/>
              </w:rPr>
              <w:t xml:space="preserve">1.0</w:t>
            </w:r>
          </w:p>
        </w:tc>
        <w:tc>
          <w:tcPr>
            <w:tcW w:type="dxa" w:w="1800"/>
            <w:tcMar>
              <w:top w:type="dxa" w:w="80"/>
              <w:left w:type="dxa" w:w="100"/>
              <w:bottom w:type="dxa" w:w="80"/>
              <w:right w:type="dxa" w:w="100"/>
            </w:tcMar>
          </w:tcPr>
          <w:p>
            <w:r>
              <w:rPr>
                <w:b w:val="false"/>
                <w:bCs w:val="false"/>
              </w:rPr>
              <w:t xml:space="preserve">[ DD/MM/YYYY ]</w:t>
            </w:r>
          </w:p>
        </w:tc>
        <w:tc>
          <w:tcPr>
            <w:tcW w:type="dxa" w:w="6300"/>
            <w:tcMar>
              <w:top w:type="dxa" w:w="80"/>
              <w:left w:type="dxa" w:w="100"/>
              <w:bottom w:type="dxa" w:w="80"/>
              <w:right w:type="dxa" w:w="100"/>
            </w:tcMar>
          </w:tcPr>
          <w:p>
            <w:r>
              <w:rPr>
                <w:b w:val="false"/>
                <w:bCs w:val="false"/>
              </w:rPr>
              <w:t xml:space="preserve">Initial version</w:t>
            </w:r>
          </w:p>
        </w:tc>
      </w:tr>
      <w:tr>
        <w:tc>
          <w:tcPr>
            <w:tcW w:type="dxa" w:w="1400"/>
            <w:tcMar>
              <w:top w:type="dxa" w:w="80"/>
              <w:left w:type="dxa" w:w="100"/>
              <w:bottom w:type="dxa" w:w="80"/>
              <w:right w:type="dxa" w:w="100"/>
            </w:tcMar>
          </w:tcPr>
          <w:p>
            <w:r>
              <w:rPr>
                <w:b w:val="false"/>
                <w:bCs w:val="false"/>
              </w:rPr>
              <w:t xml:space="preserve"/>
            </w:r>
          </w:p>
        </w:tc>
        <w:tc>
          <w:tcPr>
            <w:tcW w:type="dxa" w:w="1800"/>
            <w:tcMar>
              <w:top w:type="dxa" w:w="80"/>
              <w:left w:type="dxa" w:w="100"/>
              <w:bottom w:type="dxa" w:w="80"/>
              <w:right w:type="dxa" w:w="100"/>
            </w:tcMar>
          </w:tcPr>
          <w:p>
            <w:r>
              <w:rPr>
                <w:b w:val="false"/>
                <w:bCs w:val="false"/>
              </w:rPr>
              <w:t xml:space="preserve"/>
            </w:r>
          </w:p>
        </w:tc>
        <w:tc>
          <w:tcPr>
            <w:tcW w:type="dxa" w:w="6300"/>
            <w:tcMar>
              <w:top w:type="dxa" w:w="80"/>
              <w:left w:type="dxa" w:w="100"/>
              <w:bottom w:type="dxa" w:w="80"/>
              <w:right w:type="dxa" w:w="100"/>
            </w:tcMar>
          </w:tcPr>
          <w:p>
            <w:r>
              <w:rPr>
                <w:b w:val="false"/>
                <w:bCs w:val="false"/>
              </w:rPr>
              <w:t xml:space="preserve"/>
            </w:r>
          </w:p>
        </w:tc>
      </w:tr>
    </w:tbl>
    <w:p>
      <w:r>
        <w:br w:type="page"/>
      </w:r>
    </w:p>
    <w:p>
      <w:pPr>
        <w:pStyle w:val="Heading1"/>
        <w:spacing w:after="160" w:before="320"/>
      </w:pPr>
      <w:r>
        <w:t xml:space="preserve">Appendix A — Reference to Official EU Sources</w:t>
      </w:r>
    </w:p>
    <w:p>
      <w:pPr>
        <w:pStyle w:val="ListParagraph"/>
        <w:numPr>
          <w:ilvl w:val="0"/>
          <w:numId w:val="2"/>
        </w:numPr>
        <w:spacing w:after="80"/>
      </w:pPr>
      <w:r>
        <w:t xml:space="preserve">Regulation (EU) 2023/956 — CBAM Regulation, Annex IV (calculation methods)</w:t>
      </w:r>
    </w:p>
    <w:p>
      <w:pPr>
        <w:pStyle w:val="ListParagraph"/>
        <w:numPr>
          <w:ilvl w:val="0"/>
          <w:numId w:val="2"/>
        </w:numPr>
        <w:spacing w:after="80"/>
      </w:pPr>
      <w:r>
        <w:t xml:space="preserve">Commission Implementing Regulation (EU) 2025/2547 of 10 December 2025 — calculation of embedded emissions; Annex II, point A.5 sets out the 22 minimum elements of the Monitoring Plan used as the structure of this document</w:t>
      </w:r>
    </w:p>
    <w:p>
      <w:pPr>
        <w:pStyle w:val="ListParagraph"/>
        <w:numPr>
          <w:ilvl w:val="0"/>
          <w:numId w:val="2"/>
        </w:numPr>
        <w:spacing w:after="80"/>
      </w:pPr>
      <w:r>
        <w:t xml:space="preserve">Commission Implementing Regulation (EU) 2025/2546 of 10 December 2025 — verification principles, including monitoring plan compliance as part of the verification scope</w:t>
      </w:r>
    </w:p>
    <w:p>
      <w:pPr>
        <w:pStyle w:val="ListParagraph"/>
        <w:numPr>
          <w:ilvl w:val="0"/>
          <w:numId w:val="2"/>
        </w:numPr>
        <w:spacing w:after="80"/>
      </w:pPr>
      <w:r>
        <w:t xml:space="preserve">Commission Delegated Regulation (EU) 2025/2551 — accreditation of verifiers</w:t>
      </w:r>
    </w:p>
    <w:p>
      <w:pPr>
        <w:pStyle w:val="ListParagraph"/>
        <w:numPr>
          <w:ilvl w:val="0"/>
          <w:numId w:val="2"/>
        </w:numPr>
        <w:spacing w:after="80"/>
      </w:pPr>
      <w:r>
        <w:t xml:space="preserve">European Commission CBAM website: taxation-customs.ec.europa.eu/carbon-border-adjustment-mechanism_en</w:t>
      </w:r>
    </w:p>
    <w:p>
      <w:pPr>
        <w:pBdr>
          <w:left w:val="single" w:color="1F3864" w:sz="12" w:space="8"/>
        </w:pBdr>
        <w:spacing w:after="200"/>
        <w:ind w:left="120"/>
      </w:pPr>
      <w:r>
        <w:rPr>
          <w:i/>
          <w:iCs/>
          <w:color w:val="555555"/>
          <w:sz w:val="20"/>
          <w:szCs w:val="20"/>
        </w:rPr>
        <w:t xml:space="preserve">Note: This template reflects the structure of Annex II, point A.5 of IR 2025/2547 as published on 22 December 2025. It should be reviewed and adapted by the installation's technical team, and checked against the consolidated current text of IR 2025/2547 (and any subsequent amendments) before use in an actual CBAM submission or verification. This is a starting structure, not legal advice.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08080"/>
        <w:sz w:val="16"/>
        <w:szCs w:val="16"/>
      </w:rPr>
      <w:t xml:space="preserve">CBAM Monitoring Plan — Aluminium Sector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pPr>
      <w:spacing w:after="160" w:before="320"/>
    </w:pPr>
    <w:rPr>
      <w:b/>
      <w:bCs/>
      <w:color w:val="1F3864"/>
      <w:sz w:val="30"/>
      <w:szCs w:val="30"/>
    </w:rPr>
  </w:style>
  <w:style w:type="paragraph" w:styleId="Heading2">
    <w:name w:val="Heading 2"/>
    <w:pPr>
      <w:spacing w:after="120" w:before="240"/>
    </w:pPr>
    <w:rPr>
      <w:b/>
      <w:bCs/>
      <w:color w:val="1F38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2026-08-13T19:50:42.003Z</dcterms:created>
  <dcterms:modified xsi:type="dcterms:W3CDTF">2026-08-13T19:50:42.014Z</dcterms:modified>
</cp:coreProperties>
</file>

<file path=docProps/custom.xml><?xml version="1.0" encoding="utf-8"?>
<Properties xmlns="http://schemas.openxmlformats.org/officeDocument/2006/custom-properties" xmlns:vt="http://schemas.openxmlformats.org/officeDocument/2006/docPropsVTypes"/>
</file>