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000"/>
      </w:pPr>
    </w:p>
    <w:p>
      <w:pPr>
        <w:spacing w:after="200"/>
        <w:jc w:val="center"/>
      </w:pPr>
      <w:r>
        <w:rPr>
          <w:b/>
          <w:bCs/>
          <w:color w:val="1F3864"/>
          <w:sz w:val="40"/>
          <w:szCs w:val="40"/>
        </w:rPr>
        <w:t xml:space="preserve">CBAM EMISSION CALCULATION METHODOLOGY</w:t>
      </w:r>
    </w:p>
    <w:p>
      <w:pPr>
        <w:spacing w:after="60"/>
        <w:jc w:val="center"/>
      </w:pPr>
      <w:r>
        <w:rPr>
          <w:color w:val="444444"/>
          <w:sz w:val="26"/>
          <w:szCs w:val="26"/>
        </w:rPr>
        <w:t xml:space="preserve">A Technical Reference for the Aluminium Sector</w:t>
      </w:r>
    </w:p>
    <w:p>
      <w:pPr>
        <w:spacing w:after="500"/>
        <w:jc w:val="center"/>
      </w:pPr>
      <w:r>
        <w:rPr>
          <w:i/>
          <w:iCs/>
          <w:color w:val="444444"/>
          <w:sz w:val="24"/>
          <w:szCs w:val="24"/>
        </w:rPr>
        <w:t xml:space="preserve">Definitive Period (from 1 January 2026)</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Prepared for</w:t>
            </w:r>
          </w:p>
        </w:tc>
        <w:tc>
          <w:tcPr>
            <w:tcW w:type="dxa" w:w="6300"/>
            <w:tcMar>
              <w:top w:type="dxa" w:w="80"/>
              <w:left w:type="dxa" w:w="100"/>
              <w:bottom w:type="dxa" w:w="80"/>
              <w:right w:type="dxa" w:w="100"/>
            </w:tcMar>
          </w:tcPr>
          <w:p>
            <w:r>
              <w:rPr>
                <w:b w:val="false"/>
                <w:bCs w:val="false"/>
              </w:rPr>
              <w:t xml:space="preserve">[ Company / installation name ]</w:t>
            </w:r>
          </w:p>
        </w:tc>
      </w:tr>
      <w:tr>
        <w:tc>
          <w:tcPr>
            <w:tcW w:type="dxa" w:w="3200"/>
            <w:shd w:fill="F2F2F2" w:val="clear"/>
            <w:tcMar>
              <w:top w:type="dxa" w:w="80"/>
              <w:left w:type="dxa" w:w="100"/>
              <w:bottom w:type="dxa" w:w="80"/>
              <w:right w:type="dxa" w:w="100"/>
            </w:tcMar>
          </w:tcPr>
          <w:p>
            <w:r>
              <w:rPr>
                <w:b/>
                <w:bCs/>
              </w:rPr>
              <w:t xml:space="preserve">Document version</w:t>
            </w:r>
          </w:p>
        </w:tc>
        <w:tc>
          <w:tcPr>
            <w:tcW w:type="dxa" w:w="6300"/>
            <w:tcMar>
              <w:top w:type="dxa" w:w="80"/>
              <w:left w:type="dxa" w:w="100"/>
              <w:bottom w:type="dxa" w:w="80"/>
              <w:right w:type="dxa" w:w="100"/>
            </w:tcMar>
          </w:tcPr>
          <w:p>
            <w:r>
              <w:rPr>
                <w:b w:val="false"/>
                <w:bCs w:val="false"/>
              </w:rPr>
              <w:t xml:space="preserve">1.0</w:t>
            </w:r>
          </w:p>
        </w:tc>
      </w:tr>
      <w:tr>
        <w:tc>
          <w:tcPr>
            <w:tcW w:type="dxa" w:w="3200"/>
            <w:shd w:fill="F2F2F2" w:val="clear"/>
            <w:tcMar>
              <w:top w:type="dxa" w:w="80"/>
              <w:left w:type="dxa" w:w="100"/>
              <w:bottom w:type="dxa" w:w="80"/>
              <w:right w:type="dxa" w:w="100"/>
            </w:tcMar>
          </w:tcPr>
          <w:p>
            <w:r>
              <w:rPr>
                <w:b/>
                <w:bCs/>
              </w:rPr>
              <w:t xml:space="preserve">Date</w:t>
            </w:r>
          </w:p>
        </w:tc>
        <w:tc>
          <w:tcPr>
            <w:tcW w:type="dxa" w:w="6300"/>
            <w:tcMar>
              <w:top w:type="dxa" w:w="80"/>
              <w:left w:type="dxa" w:w="100"/>
              <w:bottom w:type="dxa" w:w="80"/>
              <w:right w:type="dxa" w:w="100"/>
            </w:tcMar>
          </w:tcPr>
          <w:p>
            <w:r>
              <w:rPr>
                <w:b w:val="false"/>
                <w:bCs w:val="false"/>
              </w:rPr>
              <w:t xml:space="preserve">[ DD Month YYYY ]</w:t>
            </w:r>
          </w:p>
        </w:tc>
      </w:tr>
      <w:tr>
        <w:tc>
          <w:tcPr>
            <w:tcW w:type="dxa" w:w="3200"/>
            <w:shd w:fill="F2F2F2" w:val="clear"/>
            <w:tcMar>
              <w:top w:type="dxa" w:w="80"/>
              <w:left w:type="dxa" w:w="100"/>
              <w:bottom w:type="dxa" w:w="80"/>
              <w:right w:type="dxa" w:w="100"/>
            </w:tcMar>
          </w:tcPr>
          <w:p>
            <w:r>
              <w:rPr>
                <w:b/>
                <w:bCs/>
              </w:rPr>
              <w:t xml:space="preserve">Primary legal basis</w:t>
            </w:r>
          </w:p>
        </w:tc>
        <w:tc>
          <w:tcPr>
            <w:tcW w:type="dxa" w:w="6300"/>
            <w:tcMar>
              <w:top w:type="dxa" w:w="80"/>
              <w:left w:type="dxa" w:w="100"/>
              <w:bottom w:type="dxa" w:w="80"/>
              <w:right w:type="dxa" w:w="100"/>
            </w:tcMar>
          </w:tcPr>
          <w:p>
            <w:r>
              <w:rPr>
                <w:b w:val="false"/>
                <w:bCs w:val="false"/>
              </w:rPr>
              <w:t xml:space="preserve">Commission Implementing Regulation (EU) 2025/2547 of 10 December 2025</w:t>
            </w:r>
          </w:p>
        </w:tc>
      </w:tr>
    </w:tbl>
    <w:p>
      <w:pPr>
        <w:spacing w:before="400"/>
      </w:pPr>
    </w:p>
    <w:p>
      <w:pPr>
        <w:pBdr>
          <w:left w:val="single" w:color="1F3864" w:sz="12" w:space="8"/>
        </w:pBdr>
        <w:spacing w:after="200"/>
        <w:ind w:left="120"/>
      </w:pPr>
      <w:r>
        <w:rPr>
          <w:i/>
          <w:iCs/>
          <w:color w:val="555555"/>
          <w:sz w:val="20"/>
          <w:szCs w:val="20"/>
        </w:rPr>
        <w:t xml:space="preserve">Note: This document summarises and explains the official calculation methodology for embedded emissions under CBAM's definitive period, based on Implementing Regulation (EU) 2025/2547 (published 22 December 2025, OJ L series). Formulae reproduced below (Annex II, points B.3.1–B.3.2) are taken directly from the regulation's text. Some sections — in particular the PFC calculation formulae (point B.7), the full indirect-emissions rules (point D), and the attribution-to-goods rules (Annex III) — are summarised at a conceptual level only, because their exact formulae were not fully available at the time this document was prepared. Those sections are flagged and must be checked against the full, current text of IR 2025/2547 before use in an actual calculation or declaration.</w:t>
      </w:r>
    </w:p>
    <w:p>
      <w:r>
        <w:br w:type="page"/>
      </w:r>
    </w:p>
    <w:p>
      <w:pPr>
        <w:pStyle w:val="Heading1"/>
        <w:spacing w:after="160" w:before="320"/>
      </w:pPr>
      <w:r>
        <w:t xml:space="preserve">1. The Calculation Framework — Core Concepts</w:t>
      </w:r>
    </w:p>
    <w:p>
      <w:pPr>
        <w:spacing w:after="140"/>
      </w:pPr>
      <w:r>
        <w:t xml:space="preserve">IR 2025/2547 builds the calculation of embedded emissions on a small number of core concepts, applied consistently across all CBAM sectors.</w:t>
      </w:r>
    </w:p>
    <w:p>
      <w:pPr>
        <w:pStyle w:val="Heading2"/>
        <w:spacing w:after="120" w:before="240"/>
      </w:pPr>
      <w:r>
        <w:t xml:space="preserve">1.1 Functional Unit</w:t>
      </w:r>
    </w:p>
    <w:p>
      <w:pPr>
        <w:spacing w:after="140"/>
      </w:pPr>
      <w:r>
        <w:t xml:space="preserve">The functional unit is the reference unit used to express embedded emissions. For aluminium, this is tonnes of goods under the relevant CN code — no adjustment for clinker or nitrogen content is needed, unlike cement or fertilisers.</w:t>
      </w:r>
    </w:p>
    <w:p>
      <w:pPr>
        <w:pStyle w:val="Heading2"/>
        <w:spacing w:after="120" w:before="240"/>
      </w:pPr>
      <w:r>
        <w:t xml:space="preserve">1.2 Production Process and System Boundaries</w:t>
      </w:r>
    </w:p>
    <w:p>
      <w:pPr>
        <w:spacing w:after="140"/>
      </w:pPr>
      <w:r>
        <w:t xml:space="preserve">A production process groups all goods to which the same functional unit applies. Its system boundaries define which emission sources, precursors, and energy flows are included. Where an installation produces goods via more than one production route (e.g. both primary electrolysis and secondary recycling of aluminium), a single production process is used, covering all routes, with emissions calculated as a weighted average across routes.</w:t>
      </w:r>
    </w:p>
    <w:p>
      <w:pPr>
        <w:pStyle w:val="Heading2"/>
        <w:spacing w:after="120" w:before="240"/>
      </w:pPr>
      <w:r>
        <w:t xml:space="preserve">1.3 Direct, Indirect, and Embedded Emissions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Direct emissions</w:t>
            </w:r>
          </w:p>
        </w:tc>
        <w:tc>
          <w:tcPr>
            <w:tcW w:type="dxa" w:w="6300"/>
            <w:tcMar>
              <w:top w:type="dxa" w:w="80"/>
              <w:left w:type="dxa" w:w="100"/>
              <w:bottom w:type="dxa" w:w="80"/>
              <w:right w:type="dxa" w:w="100"/>
            </w:tcMar>
          </w:tcPr>
          <w:p>
            <w:r>
              <w:rPr>
                <w:b w:val="false"/>
                <w:bCs w:val="false"/>
              </w:rPr>
              <w:t xml:space="preserve">Emissions from the production process itself — combustion and process emissions, including PFCs for primary aluminium.</w:t>
            </w:r>
          </w:p>
        </w:tc>
      </w:tr>
      <w:tr>
        <w:tc>
          <w:tcPr>
            <w:tcW w:type="dxa" w:w="3200"/>
            <w:shd w:fill="F2F2F2" w:val="clear"/>
            <w:tcMar>
              <w:top w:type="dxa" w:w="80"/>
              <w:left w:type="dxa" w:w="100"/>
              <w:bottom w:type="dxa" w:w="80"/>
              <w:right w:type="dxa" w:w="100"/>
            </w:tcMar>
          </w:tcPr>
          <w:p>
            <w:r>
              <w:rPr>
                <w:b/>
                <w:bCs/>
              </w:rPr>
              <w:t xml:space="preserve">Indirect emissions</w:t>
            </w:r>
          </w:p>
        </w:tc>
        <w:tc>
          <w:tcPr>
            <w:tcW w:type="dxa" w:w="6300"/>
            <w:tcMar>
              <w:top w:type="dxa" w:w="80"/>
              <w:left w:type="dxa" w:w="100"/>
              <w:bottom w:type="dxa" w:w="80"/>
              <w:right w:type="dxa" w:w="100"/>
            </w:tcMar>
          </w:tcPr>
          <w:p>
            <w:r>
              <w:rPr>
                <w:b w:val="false"/>
                <w:bCs w:val="false"/>
              </w:rPr>
              <w:t xml:space="preserve">Emissions from the electricity consumed by the production process. Relevant only for goods not listed in Annex II to the CBAM Regulation.</w:t>
            </w:r>
          </w:p>
        </w:tc>
      </w:tr>
      <w:tr>
        <w:tc>
          <w:tcPr>
            <w:tcW w:type="dxa" w:w="3200"/>
            <w:shd w:fill="F2F2F2" w:val="clear"/>
            <w:tcMar>
              <w:top w:type="dxa" w:w="80"/>
              <w:left w:type="dxa" w:w="100"/>
              <w:bottom w:type="dxa" w:w="80"/>
              <w:right w:type="dxa" w:w="100"/>
            </w:tcMar>
          </w:tcPr>
          <w:p>
            <w:r>
              <w:rPr>
                <w:b/>
                <w:bCs/>
              </w:rPr>
              <w:t xml:space="preserve">Embedded emissions</w:t>
            </w:r>
          </w:p>
        </w:tc>
        <w:tc>
          <w:tcPr>
            <w:tcW w:type="dxa" w:w="6300"/>
            <w:tcMar>
              <w:top w:type="dxa" w:w="80"/>
              <w:left w:type="dxa" w:w="100"/>
              <w:bottom w:type="dxa" w:w="80"/>
              <w:right w:type="dxa" w:w="100"/>
            </w:tcMar>
          </w:tcPr>
          <w:p>
            <w:r>
              <w:rPr>
                <w:b w:val="false"/>
                <w:bCs w:val="false"/>
              </w:rPr>
              <w:t xml:space="preserve">Direct emissions + indirect emissions (where relevant) + the embedded emissions of any precursor used.</w:t>
            </w:r>
          </w:p>
        </w:tc>
      </w:tr>
    </w:tbl>
    <w:p>
      <w:pPr>
        <w:pStyle w:val="Heading2"/>
        <w:spacing w:after="120" w:before="240"/>
      </w:pPr>
      <w:r>
        <w:t xml:space="preserve">1.4 Actual Values vs. Default Values</w:t>
      </w:r>
    </w:p>
    <w:p>
      <w:pPr>
        <w:spacing w:after="140"/>
      </w:pPr>
      <w:r>
        <w:t xml:space="preserve">An operator may determine actual values, use the Commission's default values, or combine both (e.g. actual values for the main production process, default values for one or more precursors). Where actual data for a purchased precursor is used, it must come from a verification report issued by an accredited verifier covering the relevant reporting period — otherwise the applicable default value must be used instead.</w:t>
      </w:r>
    </w:p>
    <w:p>
      <w:pPr>
        <w:pStyle w:val="Heading1"/>
        <w:spacing w:after="160" w:before="320"/>
      </w:pPr>
      <w:r>
        <w:t xml:space="preserve">2. Aluminium Sector — Scope and System Boundaries</w:t>
      </w:r>
    </w:p>
    <w:p>
      <w:pPr>
        <w:pStyle w:val="Heading2"/>
        <w:spacing w:after="120" w:before="240"/>
      </w:pPr>
      <w:r>
        <w:t xml:space="preserve">2.1 Goods Covered</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100"/>
        <w:gridCol w:w="3100"/>
        <w:gridCol w:w="3300"/>
      </w:tblGrid>
      <w:tr>
        <w:tc>
          <w:tcPr>
            <w:tcW w:type="dxa" w:w="3100"/>
            <w:shd w:fill="F2F2F2" w:val="clear"/>
            <w:tcMar>
              <w:top w:type="dxa" w:w="80"/>
              <w:left w:type="dxa" w:w="100"/>
              <w:bottom w:type="dxa" w:w="80"/>
              <w:right w:type="dxa" w:w="100"/>
            </w:tcMar>
          </w:tcPr>
          <w:p>
            <w:r>
              <w:rPr>
                <w:b/>
                <w:bCs/>
              </w:rPr>
              <w:t xml:space="preserve">Aggregated goods category</w:t>
            </w:r>
          </w:p>
        </w:tc>
        <w:tc>
          <w:tcPr>
            <w:tcW w:type="dxa" w:w="3100"/>
            <w:shd w:fill="F2F2F2" w:val="clear"/>
            <w:tcMar>
              <w:top w:type="dxa" w:w="80"/>
              <w:left w:type="dxa" w:w="100"/>
              <w:bottom w:type="dxa" w:w="80"/>
              <w:right w:type="dxa" w:w="100"/>
            </w:tcMar>
          </w:tcPr>
          <w:p>
            <w:r>
              <w:rPr>
                <w:b/>
                <w:bCs/>
              </w:rPr>
              <w:t xml:space="preserve">CN codes (examples)</w:t>
            </w:r>
          </w:p>
        </w:tc>
        <w:tc>
          <w:tcPr>
            <w:tcW w:type="dxa" w:w="3300"/>
            <w:shd w:fill="F2F2F2" w:val="clear"/>
            <w:tcMar>
              <w:top w:type="dxa" w:w="80"/>
              <w:left w:type="dxa" w:w="100"/>
              <w:bottom w:type="dxa" w:w="80"/>
              <w:right w:type="dxa" w:w="100"/>
            </w:tcMar>
          </w:tcPr>
          <w:p>
            <w:r>
              <w:rPr>
                <w:b/>
                <w:bCs/>
              </w:rPr>
              <w:t xml:space="preserve">Greenhouse gases</w:t>
            </w:r>
          </w:p>
        </w:tc>
      </w:tr>
      <w:tr>
        <w:tc>
          <w:tcPr>
            <w:tcW w:type="dxa" w:w="3100"/>
            <w:tcMar>
              <w:top w:type="dxa" w:w="80"/>
              <w:left w:type="dxa" w:w="100"/>
              <w:bottom w:type="dxa" w:w="80"/>
              <w:right w:type="dxa" w:w="100"/>
            </w:tcMar>
          </w:tcPr>
          <w:p>
            <w:r>
              <w:rPr>
                <w:b w:val="false"/>
                <w:bCs w:val="false"/>
              </w:rPr>
              <w:t xml:space="preserve">Unwrought aluminium</w:t>
            </w:r>
          </w:p>
        </w:tc>
        <w:tc>
          <w:tcPr>
            <w:tcW w:type="dxa" w:w="3100"/>
            <w:tcMar>
              <w:top w:type="dxa" w:w="80"/>
              <w:left w:type="dxa" w:w="100"/>
              <w:bottom w:type="dxa" w:w="80"/>
              <w:right w:type="dxa" w:w="100"/>
            </w:tcMar>
          </w:tcPr>
          <w:p>
            <w:r>
              <w:rPr>
                <w:b w:val="false"/>
                <w:bCs w:val="false"/>
              </w:rPr>
              <w:t xml:space="preserve">7601</w:t>
            </w:r>
          </w:p>
        </w:tc>
        <w:tc>
          <w:tcPr>
            <w:tcW w:type="dxa" w:w="3300"/>
            <w:tcMar>
              <w:top w:type="dxa" w:w="80"/>
              <w:left w:type="dxa" w:w="100"/>
              <w:bottom w:type="dxa" w:w="80"/>
              <w:right w:type="dxa" w:w="100"/>
            </w:tcMar>
          </w:tcPr>
          <w:p>
            <w:r>
              <w:rPr>
                <w:b w:val="false"/>
                <w:bCs w:val="false"/>
              </w:rPr>
              <w:t xml:space="preserve">CO₂ and PFCs</w:t>
            </w:r>
          </w:p>
        </w:tc>
      </w:tr>
      <w:tr>
        <w:tc>
          <w:tcPr>
            <w:tcW w:type="dxa" w:w="3100"/>
            <w:tcMar>
              <w:top w:type="dxa" w:w="80"/>
              <w:left w:type="dxa" w:w="100"/>
              <w:bottom w:type="dxa" w:w="80"/>
              <w:right w:type="dxa" w:w="100"/>
            </w:tcMar>
          </w:tcPr>
          <w:p>
            <w:r>
              <w:rPr>
                <w:b w:val="false"/>
                <w:bCs w:val="false"/>
              </w:rPr>
              <w:t xml:space="preserve">Aluminium products</w:t>
            </w:r>
          </w:p>
        </w:tc>
        <w:tc>
          <w:tcPr>
            <w:tcW w:type="dxa" w:w="3100"/>
            <w:tcMar>
              <w:top w:type="dxa" w:w="80"/>
              <w:left w:type="dxa" w:w="100"/>
              <w:bottom w:type="dxa" w:w="80"/>
              <w:right w:type="dxa" w:w="100"/>
            </w:tcMar>
          </w:tcPr>
          <w:p>
            <w:r>
              <w:rPr>
                <w:b w:val="false"/>
                <w:bCs w:val="false"/>
              </w:rPr>
              <w:t xml:space="preserve">7603–7616 (bars, wire, plate, foil, tube, structures, etc.)</w:t>
            </w:r>
          </w:p>
        </w:tc>
        <w:tc>
          <w:tcPr>
            <w:tcW w:type="dxa" w:w="3300"/>
            <w:tcMar>
              <w:top w:type="dxa" w:w="80"/>
              <w:left w:type="dxa" w:w="100"/>
              <w:bottom w:type="dxa" w:w="80"/>
              <w:right w:type="dxa" w:w="100"/>
            </w:tcMar>
          </w:tcPr>
          <w:p>
            <w:r>
              <w:rPr>
                <w:b w:val="false"/>
                <w:bCs w:val="false"/>
              </w:rPr>
              <w:t xml:space="preserve">CO₂ and PFCs</w:t>
            </w:r>
          </w:p>
        </w:tc>
      </w:tr>
    </w:tbl>
    <w:p>
      <w:pPr>
        <w:pBdr>
          <w:left w:val="single" w:color="1F3864" w:sz="12" w:space="8"/>
        </w:pBdr>
        <w:spacing w:after="200"/>
        <w:ind w:left="120"/>
      </w:pPr>
      <w:r>
        <w:rPr>
          <w:i/>
          <w:iCs/>
          <w:color w:val="555555"/>
          <w:sz w:val="20"/>
          <w:szCs w:val="20"/>
        </w:rPr>
        <w:t xml:space="preserve">Note: Both aggregated goods categories are subject to PFC monitoring rules where the underlying production involves primary (electrolytic) smelting.</w:t>
      </w:r>
    </w:p>
    <w:p>
      <w:pPr>
        <w:pStyle w:val="Heading2"/>
        <w:spacing w:after="120" w:before="240"/>
      </w:pPr>
      <w:r>
        <w:t xml:space="preserve">2.2 Primary (Electrolytic) Smelting — System Boundary</w:t>
      </w:r>
    </w:p>
    <w:p>
      <w:pPr>
        <w:spacing w:after="140"/>
      </w:pPr>
      <w:r>
        <w:t xml:space="preserve">Direct emissions monitoring for the primary smelting route must take into account:</w:t>
      </w:r>
    </w:p>
    <w:p>
      <w:pPr>
        <w:pStyle w:val="ListParagraph"/>
        <w:numPr>
          <w:ilvl w:val="0"/>
          <w:numId w:val="2"/>
        </w:numPr>
        <w:spacing w:after="80"/>
      </w:pPr>
      <w:r>
        <w:t xml:space="preserve">CO₂ emissions from the consumption of electrodes or electrode pastes</w:t>
      </w:r>
    </w:p>
    <w:p>
      <w:pPr>
        <w:pStyle w:val="ListParagraph"/>
        <w:numPr>
          <w:ilvl w:val="0"/>
          <w:numId w:val="2"/>
        </w:numPr>
        <w:spacing w:after="80"/>
      </w:pPr>
      <w:r>
        <w:t xml:space="preserve">CO₂ emissions from any fuels used (e.g. drying and pre-heating of raw materials, heating of electrolysis cells, heating required for casting)</w:t>
      </w:r>
    </w:p>
    <w:p>
      <w:pPr>
        <w:pStyle w:val="ListParagraph"/>
        <w:numPr>
          <w:ilvl w:val="0"/>
          <w:numId w:val="2"/>
        </w:numPr>
        <w:spacing w:after="80"/>
      </w:pPr>
      <w:r>
        <w:t xml:space="preserve">CO₂ emissions from flue gas treatment, including soda ash or limestone use where relevant</w:t>
      </w:r>
    </w:p>
    <w:p>
      <w:pPr>
        <w:pStyle w:val="ListParagraph"/>
        <w:numPr>
          <w:ilvl w:val="0"/>
          <w:numId w:val="2"/>
        </w:numPr>
        <w:spacing w:after="80"/>
      </w:pPr>
      <w:r>
        <w:t xml:space="preserve">Perfluorocarbon (PFC) emissions caused by anode effects — see Section 4 below</w:t>
      </w:r>
    </w:p>
    <w:p>
      <w:pPr>
        <w:pStyle w:val="Heading2"/>
        <w:spacing w:after="120" w:before="240"/>
      </w:pPr>
      <w:r>
        <w:t xml:space="preserve">2.3 Secondary Melting (Recycling) — System Boundary</w:t>
      </w:r>
    </w:p>
    <w:p>
      <w:pPr>
        <w:spacing w:after="140"/>
      </w:pPr>
      <w:r>
        <w:t xml:space="preserve">Secondary (recycling) production uses aluminium scrap as its main input; where unwrought aluminium from other sources is added, it is treated as a precursor. Direct emissions monitoring must take into account:</w:t>
      </w:r>
    </w:p>
    <w:p>
      <w:pPr>
        <w:pStyle w:val="ListParagraph"/>
        <w:numPr>
          <w:ilvl w:val="0"/>
          <w:numId w:val="2"/>
        </w:numPr>
        <w:spacing w:after="80"/>
      </w:pPr>
      <w:r>
        <w:t xml:space="preserve">CO₂ emissions from fuels used for drying/pre-heating raw materials, melting furnaces, scrap pre-treatment (de-coating, de-oiling), and casting</w:t>
      </w:r>
    </w:p>
    <w:p>
      <w:pPr>
        <w:pStyle w:val="ListParagraph"/>
        <w:numPr>
          <w:ilvl w:val="0"/>
          <w:numId w:val="2"/>
        </w:numPr>
        <w:spacing w:after="80"/>
      </w:pPr>
      <w:r>
        <w:t xml:space="preserve">CO₂ emissions from fuels used in associated activities such as skimmings treatment and slag recovery</w:t>
      </w:r>
    </w:p>
    <w:p>
      <w:pPr>
        <w:pStyle w:val="ListParagraph"/>
        <w:numPr>
          <w:ilvl w:val="0"/>
          <w:numId w:val="2"/>
        </w:numPr>
        <w:spacing w:after="80"/>
      </w:pPr>
      <w:r>
        <w:t xml:space="preserve">CO₂ emissions from flue gas treatment, soda ash, or limestone where relevant</w:t>
      </w:r>
    </w:p>
    <w:p>
      <w:pPr>
        <w:pBdr>
          <w:left w:val="single" w:color="1F3864" w:sz="12" w:space="8"/>
        </w:pBdr>
        <w:spacing w:after="200"/>
        <w:ind w:left="120"/>
      </w:pPr>
      <w:r>
        <w:rPr>
          <w:i/>
          <w:iCs/>
          <w:color w:val="555555"/>
          <w:sz w:val="20"/>
          <w:szCs w:val="20"/>
        </w:rPr>
        <w:t xml:space="preserve">Note: Secondary melting has no PFC monitoring requirement — PFCs are specific to the electrolytic (Hall-Héroult) process.</w:t>
      </w:r>
    </w:p>
    <w:p>
      <w:pPr>
        <w:pStyle w:val="Heading2"/>
        <w:spacing w:after="120" w:before="240"/>
      </w:pPr>
      <w:r>
        <w:t xml:space="preserve">2.4 Downstream Aluminium Products — System Boundary</w:t>
      </w:r>
    </w:p>
    <w:p>
      <w:pPr>
        <w:spacing w:after="140"/>
      </w:pPr>
      <w:r>
        <w:t xml:space="preserve">For aluminium products (bars, wire, plate, foil, tube, structures, etc.), direct emissions monitoring covers CO₂ emissions from fuel combustion and flue gas treatment across production steps, excluding cutting, welding, and finishing processes, which fall outside the system boundary.</w:t>
      </w:r>
    </w:p>
    <w:p>
      <w:pPr>
        <w:pStyle w:val="Heading1"/>
        <w:spacing w:after="160" w:before="320"/>
      </w:pPr>
      <w:r>
        <w:t xml:space="preserve">3. Choosing a Monitoring Methodology</w:t>
      </w:r>
    </w:p>
    <w:p>
      <w:pPr>
        <w:spacing w:after="140"/>
      </w:pPr>
      <w:r>
        <w:t xml:space="preserve">For each source stream or emission source, the operator chooses between two methodologies, aiming for the most accurate and reliable result — except where a specific method is compulsory (PFC emissions, see Section 4):</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Calculation-based methodology</w:t>
            </w:r>
          </w:p>
        </w:tc>
        <w:tc>
          <w:tcPr>
            <w:tcW w:type="dxa" w:w="6300"/>
            <w:tcMar>
              <w:top w:type="dxa" w:w="80"/>
              <w:left w:type="dxa" w:w="100"/>
              <w:bottom w:type="dxa" w:w="80"/>
              <w:right w:type="dxa" w:w="100"/>
            </w:tcMar>
          </w:tcPr>
          <w:p>
            <w:r>
              <w:rPr>
                <w:b w:val="false"/>
                <w:bCs w:val="false"/>
              </w:rPr>
              <w:t xml:space="preserve">Emissions determined from activity data (fuel/material quantities) and calculation factors (emission factor, NCV, oxidation factor, etc.), obtained via measurement systems, laboratory analysis, or standard values.</w:t>
            </w:r>
          </w:p>
        </w:tc>
      </w:tr>
      <w:tr>
        <w:tc>
          <w:tcPr>
            <w:tcW w:type="dxa" w:w="3200"/>
            <w:shd w:fill="F2F2F2" w:val="clear"/>
            <w:tcMar>
              <w:top w:type="dxa" w:w="80"/>
              <w:left w:type="dxa" w:w="100"/>
              <w:bottom w:type="dxa" w:w="80"/>
              <w:right w:type="dxa" w:w="100"/>
            </w:tcMar>
          </w:tcPr>
          <w:p>
            <w:r>
              <w:rPr>
                <w:b/>
                <w:bCs/>
              </w:rPr>
              <w:t xml:space="preserve">Measurement-based methodology</w:t>
            </w:r>
          </w:p>
        </w:tc>
        <w:tc>
          <w:tcPr>
            <w:tcW w:type="dxa" w:w="6300"/>
            <w:tcMar>
              <w:top w:type="dxa" w:w="80"/>
              <w:left w:type="dxa" w:w="100"/>
              <w:bottom w:type="dxa" w:w="80"/>
              <w:right w:type="dxa" w:w="100"/>
            </w:tcMar>
          </w:tcPr>
          <w:p>
            <w:r>
              <w:rPr>
                <w:b w:val="false"/>
                <w:bCs w:val="false"/>
              </w:rPr>
              <w:t xml:space="preserve">Emissions determined by continuous measurement of greenhouse gas concentration and flow in the flue gas (Continuous Emission Measurement Systems — CEMS).</w:t>
            </w:r>
          </w:p>
        </w:tc>
      </w:tr>
    </w:tbl>
    <w:p>
      <w:pPr>
        <w:spacing w:after="140"/>
      </w:pPr>
      <w:r>
        <w:t xml:space="preserve">The two methodologies may be combined within one installation, with different production steps monitored by whichever method gives the best result for that specific source stream.</w:t>
      </w:r>
    </w:p>
    <w:p>
      <w:pPr>
        <w:pStyle w:val="Heading1"/>
        <w:spacing w:after="160" w:before="320"/>
      </w:pPr>
      <w:r>
        <w:t xml:space="preserve">4. Calculation-Based Methodology — Standard Method</w:t>
      </w:r>
    </w:p>
    <w:p>
      <w:pPr>
        <w:pStyle w:val="Heading2"/>
        <w:spacing w:after="120" w:before="240"/>
      </w:pPr>
      <w:r>
        <w:t xml:space="preserve">4.1 Combustion Emissions</w:t>
      </w:r>
    </w:p>
    <w:p>
      <w:pPr>
        <w:spacing w:after="140"/>
      </w:pPr>
      <w:r>
        <w:t xml:space="preserve">Combustion emissions from a fuel source stream are calculated as:</w:t>
      </w:r>
    </w:p>
    <w:p>
      <w:pPr>
        <w:pBdr>
          <w:top w:val="single" w:color="CCCCCC" w:sz="4"/>
          <w:bottom w:val="single" w:color="CCCCCC" w:sz="4"/>
        </w:pBdr>
        <w:shd w:fill="F7F7F7" w:val="clear"/>
        <w:spacing w:after="120" w:before="120"/>
        <w:jc w:val="center"/>
      </w:pPr>
      <w:r>
        <w:rPr>
          <w:rFonts w:ascii="Cambria Math" w:cs="Cambria Math" w:eastAsia="Cambria Math" w:hAnsi="Cambria Math"/>
          <w:i/>
          <w:iCs/>
        </w:rPr>
        <w:t xml:space="preserve">Emᵢ = ADᵢ × EFᵢ × OFᵢ</w:t>
      </w:r>
    </w:p>
    <w:p>
      <w:pPr>
        <w:spacing w:after="140"/>
      </w:pPr>
      <w:r>
        <w:t xml:space="preserve">Where Emᵢ is the emissions [t CO₂] from fuel i; ADᵢ is the activity data [TJ]; EFᵢ is the emission factor [t CO₂/TJ]; and OFᵢ is the oxidation factor (dimensionless).</w:t>
      </w:r>
    </w:p>
    <w:p>
      <w:pPr>
        <w:spacing w:after="140"/>
      </w:pPr>
      <w:r>
        <w:t xml:space="preserve">Activity data is calculated as:</w:t>
      </w:r>
    </w:p>
    <w:p>
      <w:pPr>
        <w:pBdr>
          <w:top w:val="single" w:color="CCCCCC" w:sz="4"/>
          <w:bottom w:val="single" w:color="CCCCCC" w:sz="4"/>
        </w:pBdr>
        <w:shd w:fill="F7F7F7" w:val="clear"/>
        <w:spacing w:after="120" w:before="120"/>
        <w:jc w:val="center"/>
      </w:pPr>
      <w:r>
        <w:rPr>
          <w:rFonts w:ascii="Cambria Math" w:cs="Cambria Math" w:eastAsia="Cambria Math" w:hAnsi="Cambria Math"/>
          <w:i/>
          <w:iCs/>
        </w:rPr>
        <w:t xml:space="preserve">ADᵢ = FQᵢ × NCVᵢ</w:t>
      </w:r>
    </w:p>
    <w:p>
      <w:pPr>
        <w:spacing w:after="140"/>
      </w:pPr>
      <w:r>
        <w:t xml:space="preserve">Where FQᵢ is the fuel quantity consumed [t or m³] and NCVᵢ is the net calorific value [TJ/t or TJ/m³] of fuel i.</w:t>
      </w:r>
    </w:p>
    <w:p>
      <w:pPr>
        <w:spacing w:after="140"/>
      </w:pPr>
      <w:r>
        <w:t xml:space="preserve">The oxidation factor is calculated as:</w:t>
      </w:r>
    </w:p>
    <w:p>
      <w:pPr>
        <w:pBdr>
          <w:top w:val="single" w:color="CCCCCC" w:sz="4"/>
          <w:bottom w:val="single" w:color="CCCCCC" w:sz="4"/>
        </w:pBdr>
        <w:shd w:fill="F7F7F7" w:val="clear"/>
        <w:spacing w:after="120" w:before="120"/>
        <w:jc w:val="center"/>
      </w:pPr>
      <w:r>
        <w:rPr>
          <w:rFonts w:ascii="Cambria Math" w:cs="Cambria Math" w:eastAsia="Cambria Math" w:hAnsi="Cambria Math"/>
          <w:i/>
          <w:iCs/>
        </w:rPr>
        <w:t xml:space="preserve">OF = 1 − Cash / Ctotal</w:t>
      </w:r>
    </w:p>
    <w:p>
      <w:pPr>
        <w:spacing w:after="140"/>
      </w:pPr>
      <w:r>
        <w:t xml:space="preserve">Where Cash is the carbon contained in ash and flue gas cleaning dust, and Ctotal is the total carbon contained in the fuel combusted. A conservative assumption of OF = 1 may always be used to reduce monitoring effort.</w:t>
      </w:r>
    </w:p>
    <w:p>
      <w:pPr>
        <w:pBdr>
          <w:left w:val="single" w:color="1F3864" w:sz="12" w:space="8"/>
        </w:pBdr>
        <w:spacing w:after="200"/>
        <w:ind w:left="120"/>
      </w:pPr>
      <w:r>
        <w:rPr>
          <w:i/>
          <w:iCs/>
          <w:color w:val="555555"/>
          <w:sz w:val="20"/>
          <w:szCs w:val="20"/>
        </w:rPr>
        <w:t xml:space="preserve">Note: A simplified variant is permitted where it improves accuracy: activity data expressed directly as fuel quantity (t or m³), the emission factor expressed per tonne or m³ of fuel, and NCV omitted from the calculation.</w:t>
      </w:r>
    </w:p>
    <w:p>
      <w:pPr>
        <w:pStyle w:val="Heading3"/>
        <w:spacing w:after="100" w:before="200"/>
      </w:pPr>
      <w:r>
        <w:t xml:space="preserve">Deriving the Emission Factor from Carbon Content</w:t>
      </w:r>
    </w:p>
    <w:p>
      <w:pPr>
        <w:spacing w:after="140"/>
      </w:pPr>
      <w:r>
        <w:t xml:space="preserve">If the emission factor of a fuel must be derived from analysed carbon content and NCV:</w:t>
      </w:r>
    </w:p>
    <w:p>
      <w:pPr>
        <w:pBdr>
          <w:top w:val="single" w:color="CCCCCC" w:sz="4"/>
          <w:bottom w:val="single" w:color="CCCCCC" w:sz="4"/>
        </w:pBdr>
        <w:shd w:fill="F7F7F7" w:val="clear"/>
        <w:spacing w:after="120" w:before="120"/>
        <w:jc w:val="center"/>
      </w:pPr>
      <w:r>
        <w:rPr>
          <w:rFonts w:ascii="Cambria Math" w:cs="Cambria Math" w:eastAsia="Cambria Math" w:hAnsi="Cambria Math"/>
          <w:i/>
          <w:iCs/>
        </w:rPr>
        <w:t xml:space="preserve">EFᵢ = CCᵢ × f / NCVᵢ</w:t>
      </w:r>
    </w:p>
    <w:p>
      <w:pPr>
        <w:spacing w:after="140"/>
      </w:pPr>
      <w:r>
        <w:t xml:space="preserve">Where CCᵢ is the carbon content of fuel i, and f is the ratio of the molar masses of CO₂ and C (f = 3.664 t CO₂/t C).</w:t>
      </w:r>
    </w:p>
    <w:p>
      <w:pPr>
        <w:spacing w:after="140"/>
      </w:pPr>
      <w:r>
        <w:t xml:space="preserve">If the emission factor is expressed per tonne of material directly:</w:t>
      </w:r>
    </w:p>
    <w:p>
      <w:pPr>
        <w:pBdr>
          <w:top w:val="single" w:color="CCCCCC" w:sz="4"/>
          <w:bottom w:val="single" w:color="CCCCCC" w:sz="4"/>
        </w:pBdr>
        <w:shd w:fill="F7F7F7" w:val="clear"/>
        <w:spacing w:after="120" w:before="120"/>
        <w:jc w:val="center"/>
      </w:pPr>
      <w:r>
        <w:rPr>
          <w:rFonts w:ascii="Cambria Math" w:cs="Cambria Math" w:eastAsia="Cambria Math" w:hAnsi="Cambria Math"/>
          <w:i/>
          <w:iCs/>
        </w:rPr>
        <w:t xml:space="preserve">EFᵢ = CCᵢ × f</w:t>
      </w:r>
    </w:p>
    <w:p>
      <w:pPr>
        <w:pStyle w:val="Heading3"/>
        <w:spacing w:after="100" w:before="200"/>
      </w:pPr>
      <w:r>
        <w:t xml:space="preserve">Mixed Fuels (Fossil + Biomass)</w:t>
      </w:r>
    </w:p>
    <w:p>
      <w:pPr>
        <w:spacing w:after="140"/>
      </w:pPr>
      <w:r>
        <w:t xml:space="preserve">For fuels containing both fossil and biomass carbon, the biomass fraction may be excluded from the emission factor (provided the zero-rating criteria in Section 6 are met):</w:t>
      </w:r>
    </w:p>
    <w:p>
      <w:pPr>
        <w:pBdr>
          <w:top w:val="single" w:color="CCCCCC" w:sz="4"/>
          <w:bottom w:val="single" w:color="CCCCCC" w:sz="4"/>
        </w:pBdr>
        <w:shd w:fill="F7F7F7" w:val="clear"/>
        <w:spacing w:after="120" w:before="120"/>
        <w:jc w:val="center"/>
      </w:pPr>
      <w:r>
        <w:rPr>
          <w:rFonts w:ascii="Cambria Math" w:cs="Cambria Math" w:eastAsia="Cambria Math" w:hAnsi="Cambria Math"/>
          <w:i/>
          <w:iCs/>
        </w:rPr>
        <w:t xml:space="preserve">EFᵢ = EFpre,ᵢ × (1 − BFᵢ)</w:t>
      </w:r>
    </w:p>
    <w:p>
      <w:pPr>
        <w:spacing w:after="140"/>
      </w:pPr>
      <w:r>
        <w:t xml:space="preserve">Where EFpre,ᵢ is the preliminary emission factor (assuming the fuel is entirely fossil) and BFᵢ is the biomass fraction. Where the biomass fraction is unknown, it must conservatively be set to zero.</w:t>
      </w:r>
    </w:p>
    <w:p>
      <w:pPr>
        <w:pStyle w:val="Heading2"/>
        <w:spacing w:after="120" w:before="240"/>
      </w:pPr>
      <w:r>
        <w:t xml:space="preserve">4.2 Process Emissions</w:t>
      </w:r>
    </w:p>
    <w:p>
      <w:pPr>
        <w:spacing w:after="140"/>
      </w:pPr>
      <w:r>
        <w:t xml:space="preserve">Process emissions (e.g. from carbonate decomposition, reduction reactions) are calculated as:</w:t>
      </w:r>
    </w:p>
    <w:p>
      <w:pPr>
        <w:pBdr>
          <w:top w:val="single" w:color="CCCCCC" w:sz="4"/>
          <w:bottom w:val="single" w:color="CCCCCC" w:sz="4"/>
        </w:pBdr>
        <w:shd w:fill="F7F7F7" w:val="clear"/>
        <w:spacing w:after="120" w:before="120"/>
        <w:jc w:val="center"/>
      </w:pPr>
      <w:r>
        <w:rPr>
          <w:rFonts w:ascii="Cambria Math" w:cs="Cambria Math" w:eastAsia="Cambria Math" w:hAnsi="Cambria Math"/>
          <w:i/>
          <w:iCs/>
        </w:rPr>
        <w:t xml:space="preserve">Emⱼ = ADⱼ × EFⱼ × CFⱼ</w:t>
      </w:r>
    </w:p>
    <w:p>
      <w:pPr>
        <w:spacing w:after="140"/>
      </w:pPr>
      <w:r>
        <w:t xml:space="preserve">Where ADⱼ is the activity data [t of material]; EFⱼ is the emission factor [t CO₂/t]; and CFⱼ is the conversion factor (dimensionless). A conservative assumption of CFⱼ = 1 may always be used.</w:t>
      </w:r>
    </w:p>
    <w:p>
      <w:pPr>
        <w:pBdr>
          <w:left w:val="single" w:color="1F3864" w:sz="12" w:space="8"/>
        </w:pBdr>
        <w:spacing w:after="200"/>
        <w:ind w:left="120"/>
      </w:pPr>
      <w:r>
        <w:rPr>
          <w:i/>
          <w:iCs/>
          <w:color w:val="555555"/>
          <w:sz w:val="20"/>
          <w:szCs w:val="20"/>
        </w:rPr>
        <w:t xml:space="preserve">Note: For CO₂ emissions from carbonate decomposition, an input-based method (Method A, applied to the material entering the process) or output-based method (Method B, applied to the material leaving the process) may be used, choosing whichever gives more accurate results for the specific source stream.</w:t>
      </w:r>
    </w:p>
    <w:p>
      <w:pPr>
        <w:pStyle w:val="Heading1"/>
        <w:spacing w:after="160" w:before="320"/>
      </w:pPr>
      <w:r>
        <w:t xml:space="preserve">5. Calculation-Based Methodology — Mass Balance Method</w:t>
      </w:r>
    </w:p>
    <w:p>
      <w:pPr>
        <w:spacing w:after="140"/>
      </w:pPr>
      <w:r>
        <w:t xml:space="preserve">The mass balance method tracks carbon content across all input and output materials for a source stream, without separating fuels and process materials. Carbon leaving the installation embedded in products (rather than emitted) is accounted for as a negative activity data value.</w:t>
      </w:r>
    </w:p>
    <w:p>
      <w:pPr>
        <w:pBdr>
          <w:top w:val="single" w:color="CCCCCC" w:sz="4"/>
          <w:bottom w:val="single" w:color="CCCCCC" w:sz="4"/>
        </w:pBdr>
        <w:shd w:fill="F7F7F7" w:val="clear"/>
        <w:spacing w:after="120" w:before="120"/>
        <w:jc w:val="center"/>
      </w:pPr>
      <w:r>
        <w:rPr>
          <w:rFonts w:ascii="Cambria Math" w:cs="Cambria Math" w:eastAsia="Cambria Math" w:hAnsi="Cambria Math"/>
          <w:i/>
          <w:iCs/>
        </w:rPr>
        <w:t xml:space="preserve">Emₖ = f × ADₖ × CCₖ</w:t>
      </w:r>
    </w:p>
    <w:p>
      <w:pPr>
        <w:spacing w:after="140"/>
      </w:pPr>
      <w:r>
        <w:t xml:space="preserve">Where ADₖ is the activity data [t] of material k (negative for outputs); f = 3.664 t CO₂/t C; and CCₖ is the carbon content of material k (dimensionless, positive).</w:t>
      </w:r>
    </w:p>
    <w:p>
      <w:pPr>
        <w:spacing w:after="140"/>
      </w:pPr>
      <w:r>
        <w:t xml:space="preserve">Carbon content may be derived from an emission factor as follows, depending on its units:</w:t>
      </w:r>
    </w:p>
    <w:p>
      <w:pPr>
        <w:pBdr>
          <w:top w:val="single" w:color="CCCCCC" w:sz="4"/>
          <w:bottom w:val="single" w:color="CCCCCC" w:sz="4"/>
        </w:pBdr>
        <w:shd w:fill="F7F7F7" w:val="clear"/>
        <w:spacing w:after="120" w:before="120"/>
        <w:jc w:val="center"/>
      </w:pPr>
      <w:r>
        <w:rPr>
          <w:rFonts w:ascii="Cambria Math" w:cs="Cambria Math" w:eastAsia="Cambria Math" w:hAnsi="Cambria Math"/>
          <w:i/>
          <w:iCs/>
        </w:rPr>
        <w:t xml:space="preserve">CCₖ = EFₖ × NCVₖ / f      (from t CO₂/TJ)</w:t>
      </w:r>
    </w:p>
    <w:p>
      <w:pPr>
        <w:pBdr>
          <w:top w:val="single" w:color="CCCCCC" w:sz="4"/>
          <w:bottom w:val="single" w:color="CCCCCC" w:sz="4"/>
        </w:pBdr>
        <w:shd w:fill="F7F7F7" w:val="clear"/>
        <w:spacing w:after="120" w:before="120"/>
        <w:jc w:val="center"/>
      </w:pPr>
      <w:r>
        <w:rPr>
          <w:rFonts w:ascii="Cambria Math" w:cs="Cambria Math" w:eastAsia="Cambria Math" w:hAnsi="Cambria Math"/>
          <w:i/>
          <w:iCs/>
        </w:rPr>
        <w:t xml:space="preserve">CCₖ = EFₖ / f      (from t CO₂/t)</w:t>
      </w:r>
    </w:p>
    <w:p>
      <w:pPr>
        <w:pBdr>
          <w:left w:val="single" w:color="1F3864" w:sz="12" w:space="8"/>
        </w:pBdr>
        <w:spacing w:after="200"/>
        <w:ind w:left="120"/>
      </w:pPr>
      <w:r>
        <w:rPr>
          <w:i/>
          <w:iCs/>
          <w:color w:val="555555"/>
          <w:sz w:val="20"/>
          <w:szCs w:val="20"/>
        </w:rPr>
        <w:t xml:space="preserve">Note: The mass balance method is a cross-sectoral alternative to the standard method and may give more accurate results where multiple carbon-bearing inputs and outputs interact within a single process, e.g. in ferro-alloy or crude steel production. For aluminium, it is less commonly the most practical choice given the process chemistry, but remains available where it improves accuracy.</w:t>
      </w:r>
    </w:p>
    <w:p>
      <w:pPr>
        <w:pStyle w:val="Heading1"/>
        <w:spacing w:after="160" w:before="320"/>
      </w:pPr>
      <w:r>
        <w:t xml:space="preserve">6. Zero-Rating of Biomass Emissions</w:t>
      </w:r>
    </w:p>
    <w:p>
      <w:pPr>
        <w:spacing w:after="140"/>
      </w:pPr>
      <w:r>
        <w:t xml:space="preserve">Biomass used as a fuel may be treated as having zero emission factor only if it meets defined sustainability criteria:</w:t>
      </w:r>
    </w:p>
    <w:p>
      <w:pPr>
        <w:pStyle w:val="ListParagraph"/>
        <w:numPr>
          <w:ilvl w:val="0"/>
          <w:numId w:val="2"/>
        </w:numPr>
        <w:spacing w:after="80"/>
      </w:pPr>
      <w:r>
        <w:t xml:space="preserve">Compliance with the sustainability and GHG emissions-saving criteria of Article 29(2)–(7) and (10) of Directive (EU) 2018/2001</w:t>
      </w:r>
    </w:p>
    <w:p>
      <w:pPr>
        <w:pStyle w:val="ListParagraph"/>
        <w:numPr>
          <w:ilvl w:val="0"/>
          <w:numId w:val="2"/>
        </w:numPr>
        <w:spacing w:after="80"/>
      </w:pPr>
      <w:r>
        <w:t xml:space="preserve">For biomass from waste and residues (other than agricultural, aquaculture, fisheries and forestry residues), only the Article 29(10) criterion applies</w:t>
      </w:r>
    </w:p>
    <w:p>
      <w:pPr>
        <w:pStyle w:val="ListParagraph"/>
        <w:numPr>
          <w:ilvl w:val="0"/>
          <w:numId w:val="2"/>
        </w:numPr>
        <w:spacing w:after="80"/>
      </w:pPr>
      <w:r>
        <w:t xml:space="preserve">Compliance may be demonstrated via cancellation of the relevant quantity in the Union Database, or proof of sustainability from a recognised voluntary scheme</w:t>
      </w:r>
    </w:p>
    <w:p>
      <w:pPr>
        <w:pBdr>
          <w:left w:val="single" w:color="1F3864" w:sz="12" w:space="8"/>
        </w:pBdr>
        <w:spacing w:after="200"/>
        <w:ind w:left="120"/>
      </w:pPr>
      <w:r>
        <w:rPr>
          <w:i/>
          <w:iCs/>
          <w:color w:val="555555"/>
          <w:sz w:val="20"/>
          <w:szCs w:val="20"/>
        </w:rPr>
        <w:t xml:space="preserve">Note: Where these criteria are not met, or where the biomass fraction is unknown, the material's carbon content must be treated conservatively as fully fossil.</w:t>
      </w:r>
    </w:p>
    <w:p>
      <w:pPr>
        <w:pStyle w:val="Heading1"/>
        <w:spacing w:after="160" w:before="320"/>
      </w:pPr>
      <w:r>
        <w:t xml:space="preserve">7. PFC Emissions — Primary Aluminium Production</w:t>
      </w:r>
    </w:p>
    <w:p>
      <w:pPr>
        <w:spacing w:after="140"/>
      </w:pPr>
      <w:r>
        <w:t xml:space="preserve">Perfluorocarbon (PFC) emissions — tetrafluoromethane (CF₄) and hexafluoroethane (C₂F₆) — are formed during anode effects in the electrolytic (Hall-Héroult) process, when the alumina concentration in the electrolyte bath falls too low. This is a compulsory monitoring requirement specific to primary aluminium smelting; it does not apply to secondary (recycling) production.</w:t>
      </w:r>
    </w:p>
    <w:p>
      <w:pPr>
        <w:pStyle w:val="Heading2"/>
        <w:spacing w:after="120" w:before="240"/>
      </w:pPr>
      <w:r>
        <w:t xml:space="preserve">7.1 Two Permitted Calculation Methods</w:t>
      </w:r>
    </w:p>
    <w:p>
      <w:pPr>
        <w:spacing w:after="140"/>
      </w:pPr>
      <w:r>
        <w:t xml:space="preserve">IR 2025/2547 (Annex II, point B.7) permits two calculation methods for point-source PFC emissions, plus a separate estimation approach for fugitive emissions: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Method A — Slope Method</w:t>
            </w:r>
          </w:p>
        </w:tc>
        <w:tc>
          <w:tcPr>
            <w:tcW w:type="dxa" w:w="6300"/>
            <w:tcMar>
              <w:top w:type="dxa" w:w="80"/>
              <w:left w:type="dxa" w:w="100"/>
              <w:bottom w:type="dxa" w:w="80"/>
              <w:right w:type="dxa" w:w="100"/>
            </w:tcMar>
          </w:tcPr>
          <w:p>
            <w:r>
              <w:rPr>
                <w:b w:val="false"/>
                <w:bCs w:val="false"/>
              </w:rPr>
              <w:t xml:space="preserve">Relates PFC emissions to anode effect frequency and duration (minutes of anode effect per cell-day), using a technology-specific slope coefficient that expresses PFC generated per unit of anode-effect duration.</w:t>
            </w:r>
          </w:p>
        </w:tc>
      </w:tr>
      <w:tr>
        <w:tc>
          <w:tcPr>
            <w:tcW w:type="dxa" w:w="3200"/>
            <w:shd w:fill="F2F2F2" w:val="clear"/>
            <w:tcMar>
              <w:top w:type="dxa" w:w="80"/>
              <w:left w:type="dxa" w:w="100"/>
              <w:bottom w:type="dxa" w:w="80"/>
              <w:right w:type="dxa" w:w="100"/>
            </w:tcMar>
          </w:tcPr>
          <w:p>
            <w:r>
              <w:rPr>
                <w:b/>
                <w:bCs/>
              </w:rPr>
              <w:t xml:space="preserve">Method B — Overvoltage Method</w:t>
            </w:r>
          </w:p>
        </w:tc>
        <w:tc>
          <w:tcPr>
            <w:tcW w:type="dxa" w:w="6300"/>
            <w:tcMar>
              <w:top w:type="dxa" w:w="80"/>
              <w:left w:type="dxa" w:w="100"/>
              <w:bottom w:type="dxa" w:w="80"/>
              <w:right w:type="dxa" w:w="100"/>
            </w:tcMar>
          </w:tcPr>
          <w:p>
            <w:r>
              <w:rPr>
                <w:b w:val="false"/>
                <w:bCs w:val="false"/>
              </w:rPr>
              <w:t xml:space="preserve">Relates PFC emissions to the anode effect overvoltage (AEO) integrated over time and divided by current efficiency (CE) — the AEO/CE term expresses the time-integrated average excess cell voltage attributable to anode effects, multiplied by an overvoltage coefficient specific to the cell technology.</w:t>
            </w:r>
          </w:p>
        </w:tc>
      </w:tr>
    </w:tbl>
    <w:p>
      <w:pPr>
        <w:spacing w:after="140"/>
      </w:pPr>
      <w:r>
        <w:t xml:space="preserve">Fugitive (non-duct) PFC emissions not captured by the point-source measurement are estimated separately, based on industry best practice — in particular, guidelines published by the International Aluminium Institute (IAI).</w:t>
      </w:r>
    </w:p>
    <w:p>
      <w:pPr>
        <w:pBdr>
          <w:left w:val="single" w:color="C00000" w:sz="12" w:space="8"/>
        </w:pBdr>
        <w:spacing w:after="200"/>
        <w:ind w:left="120"/>
      </w:pPr>
      <w:r>
        <w:rPr>
          <w:i/>
          <w:iCs/>
          <w:color w:val="9C4500"/>
          <w:sz w:val="20"/>
          <w:szCs w:val="20"/>
        </w:rPr>
        <w:t xml:space="preserve">⚠ The exact formulae for Method A and Method B (Annex II, point B.7.1 and B.7.2 of IR 2025/2547) were not fully available when this document was prepared. Before performing an actual PFC calculation, obtain and use the verbatim equations from the current consolidated text of IR 2025/2547, Annex II, point B.7 — do not rely on the conceptual description above for a live calculation.</w:t>
      </w:r>
    </w:p>
    <w:p>
      <w:pPr>
        <w:pStyle w:val="Heading2"/>
        <w:spacing w:after="120" w:before="240"/>
      </w:pPr>
      <w:r>
        <w:t xml:space="preserve">7.2 Practical Parameters to Monitor</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Anode effect frequency (AEF)</w:t>
            </w:r>
          </w:p>
        </w:tc>
        <w:tc>
          <w:tcPr>
            <w:tcW w:type="dxa" w:w="6300"/>
            <w:tcMar>
              <w:top w:type="dxa" w:w="80"/>
              <w:left w:type="dxa" w:w="100"/>
              <w:bottom w:type="dxa" w:w="80"/>
              <w:right w:type="dxa" w:w="100"/>
            </w:tcMar>
          </w:tcPr>
          <w:p>
            <w:r>
              <w:rPr>
                <w:b w:val="false"/>
                <w:bCs w:val="false"/>
              </w:rPr>
              <w:t xml:space="preserve">Number of anode effects per cell-day</w:t>
            </w:r>
          </w:p>
        </w:tc>
      </w:tr>
      <w:tr>
        <w:tc>
          <w:tcPr>
            <w:tcW w:type="dxa" w:w="3200"/>
            <w:shd w:fill="F2F2F2" w:val="clear"/>
            <w:tcMar>
              <w:top w:type="dxa" w:w="80"/>
              <w:left w:type="dxa" w:w="100"/>
              <w:bottom w:type="dxa" w:w="80"/>
              <w:right w:type="dxa" w:w="100"/>
            </w:tcMar>
          </w:tcPr>
          <w:p>
            <w:r>
              <w:rPr>
                <w:b/>
                <w:bCs/>
              </w:rPr>
              <w:t xml:space="preserve">Anode effect duration (AED)</w:t>
            </w:r>
          </w:p>
        </w:tc>
        <w:tc>
          <w:tcPr>
            <w:tcW w:type="dxa" w:w="6300"/>
            <w:tcMar>
              <w:top w:type="dxa" w:w="80"/>
              <w:left w:type="dxa" w:w="100"/>
              <w:bottom w:type="dxa" w:w="80"/>
              <w:right w:type="dxa" w:w="100"/>
            </w:tcMar>
          </w:tcPr>
          <w:p>
            <w:r>
              <w:rPr>
                <w:b w:val="false"/>
                <w:bCs w:val="false"/>
              </w:rPr>
              <w:t xml:space="preserve">Average duration of anode effects, in minutes per cell-day</w:t>
            </w:r>
          </w:p>
        </w:tc>
      </w:tr>
      <w:tr>
        <w:tc>
          <w:tcPr>
            <w:tcW w:type="dxa" w:w="3200"/>
            <w:shd w:fill="F2F2F2" w:val="clear"/>
            <w:tcMar>
              <w:top w:type="dxa" w:w="80"/>
              <w:left w:type="dxa" w:w="100"/>
              <w:bottom w:type="dxa" w:w="80"/>
              <w:right w:type="dxa" w:w="100"/>
            </w:tcMar>
          </w:tcPr>
          <w:p>
            <w:r>
              <w:rPr>
                <w:b/>
                <w:bCs/>
              </w:rPr>
              <w:t xml:space="preserve">Anode effect overvoltage (AEO)</w:t>
            </w:r>
          </w:p>
        </w:tc>
        <w:tc>
          <w:tcPr>
            <w:tcW w:type="dxa" w:w="6300"/>
            <w:tcMar>
              <w:top w:type="dxa" w:w="80"/>
              <w:left w:type="dxa" w:w="100"/>
              <w:bottom w:type="dxa" w:w="80"/>
              <w:right w:type="dxa" w:w="100"/>
            </w:tcMar>
          </w:tcPr>
          <w:p>
            <w:r>
              <w:rPr>
                <w:b w:val="false"/>
                <w:bCs w:val="false"/>
              </w:rPr>
              <w:t xml:space="preserve">Time-integrated average excess voltage during anode effects (Method B)</w:t>
            </w:r>
          </w:p>
        </w:tc>
      </w:tr>
      <w:tr>
        <w:tc>
          <w:tcPr>
            <w:tcW w:type="dxa" w:w="3200"/>
            <w:shd w:fill="F2F2F2" w:val="clear"/>
            <w:tcMar>
              <w:top w:type="dxa" w:w="80"/>
              <w:left w:type="dxa" w:w="100"/>
              <w:bottom w:type="dxa" w:w="80"/>
              <w:right w:type="dxa" w:w="100"/>
            </w:tcMar>
          </w:tcPr>
          <w:p>
            <w:r>
              <w:rPr>
                <w:b/>
                <w:bCs/>
              </w:rPr>
              <w:t xml:space="preserve">Current efficiency (CE)</w:t>
            </w:r>
          </w:p>
        </w:tc>
        <w:tc>
          <w:tcPr>
            <w:tcW w:type="dxa" w:w="6300"/>
            <w:tcMar>
              <w:top w:type="dxa" w:w="80"/>
              <w:left w:type="dxa" w:w="100"/>
              <w:bottom w:type="dxa" w:w="80"/>
              <w:right w:type="dxa" w:w="100"/>
            </w:tcMar>
          </w:tcPr>
          <w:p>
            <w:r>
              <w:rPr>
                <w:b w:val="false"/>
                <w:bCs w:val="false"/>
              </w:rPr>
              <w:t xml:space="preserve">Ratio of actual aluminium produced to theoretical production from the current passed</w:t>
            </w:r>
          </w:p>
        </w:tc>
      </w:tr>
      <w:tr>
        <w:tc>
          <w:tcPr>
            <w:tcW w:type="dxa" w:w="3200"/>
            <w:shd w:fill="F2F2F2" w:val="clear"/>
            <w:tcMar>
              <w:top w:type="dxa" w:w="80"/>
              <w:left w:type="dxa" w:w="100"/>
              <w:bottom w:type="dxa" w:w="80"/>
              <w:right w:type="dxa" w:w="100"/>
            </w:tcMar>
          </w:tcPr>
          <w:p>
            <w:r>
              <w:rPr>
                <w:b/>
                <w:bCs/>
              </w:rPr>
              <w:t xml:space="preserve">Collection efficiency</w:t>
            </w:r>
          </w:p>
        </w:tc>
        <w:tc>
          <w:tcPr>
            <w:tcW w:type="dxa" w:w="6300"/>
            <w:tcMar>
              <w:top w:type="dxa" w:w="80"/>
              <w:left w:type="dxa" w:w="100"/>
              <w:bottom w:type="dxa" w:w="80"/>
              <w:right w:type="dxa" w:w="100"/>
            </w:tcMar>
          </w:tcPr>
          <w:p>
            <w:r>
              <w:rPr>
                <w:b w:val="false"/>
                <w:bCs w:val="false"/>
              </w:rPr>
              <w:t xml:space="preserve">Efficiency of the duct/stack system in capturing PFC emissions — measured when installation-specific emission factors are determined</w:t>
            </w:r>
          </w:p>
        </w:tc>
      </w:tr>
    </w:tbl>
    <w:p>
      <w:pPr>
        <w:pStyle w:val="Heading1"/>
        <w:spacing w:after="160" w:before="320"/>
      </w:pPr>
      <w:r>
        <w:t xml:space="preserve">8. Indirect Emissions (Electricity)</w:t>
      </w:r>
    </w:p>
    <w:p>
      <w:pPr>
        <w:spacing w:after="140"/>
      </w:pPr>
      <w:r>
        <w:t xml:space="preserve">Primary aluminium smelting is highly electricity-intensive, making indirect emissions particularly material for this sector. Indirect emissions are monitored by tracking electricity consumption per production process and applying the relevant emission factor (Annex II, point D).</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Grid electricity</w:t>
            </w:r>
          </w:p>
        </w:tc>
        <w:tc>
          <w:tcPr>
            <w:tcW w:type="dxa" w:w="6300"/>
            <w:tcMar>
              <w:top w:type="dxa" w:w="80"/>
              <w:left w:type="dxa" w:w="100"/>
              <w:bottom w:type="dxa" w:w="80"/>
              <w:right w:type="dxa" w:w="100"/>
            </w:tcMar>
          </w:tcPr>
          <w:p>
            <w:r>
              <w:rPr>
                <w:b w:val="false"/>
                <w:bCs w:val="false"/>
              </w:rPr>
              <w:t xml:space="preserve">The Commission's default emission factor for the country's electricity grid applies, unless actual values are used.</w:t>
            </w:r>
          </w:p>
        </w:tc>
      </w:tr>
      <w:tr>
        <w:tc>
          <w:tcPr>
            <w:tcW w:type="dxa" w:w="3200"/>
            <w:shd w:fill="F2F2F2" w:val="clear"/>
            <w:tcMar>
              <w:top w:type="dxa" w:w="80"/>
              <w:left w:type="dxa" w:w="100"/>
              <w:bottom w:type="dxa" w:w="80"/>
              <w:right w:type="dxa" w:w="100"/>
            </w:tcMar>
          </w:tcPr>
          <w:p>
            <w:r>
              <w:rPr>
                <w:b/>
                <w:bCs/>
              </w:rPr>
              <w:t xml:space="preserve">Self-generated electricity (auto-producer)</w:t>
            </w:r>
          </w:p>
        </w:tc>
        <w:tc>
          <w:tcPr>
            <w:tcW w:type="dxa" w:w="6300"/>
            <w:tcMar>
              <w:top w:type="dxa" w:w="80"/>
              <w:left w:type="dxa" w:w="100"/>
              <w:bottom w:type="dxa" w:w="80"/>
              <w:right w:type="dxa" w:w="100"/>
            </w:tcMar>
          </w:tcPr>
          <w:p>
            <w:r>
              <w:rPr>
                <w:b w:val="false"/>
                <w:bCs w:val="false"/>
              </w:rPr>
              <w:t xml:space="preserve">The operator monitors the emissions of its own power plant using the same direct-emissions rules as for other combustion sources.</w:t>
            </w:r>
          </w:p>
        </w:tc>
      </w:tr>
      <w:tr>
        <w:tc>
          <w:tcPr>
            <w:tcW w:type="dxa" w:w="3200"/>
            <w:shd w:fill="F2F2F2" w:val="clear"/>
            <w:tcMar>
              <w:top w:type="dxa" w:w="80"/>
              <w:left w:type="dxa" w:w="100"/>
              <w:bottom w:type="dxa" w:w="80"/>
              <w:right w:type="dxa" w:w="100"/>
            </w:tcMar>
          </w:tcPr>
          <w:p>
            <w:r>
              <w:rPr>
                <w:b/>
                <w:bCs/>
              </w:rPr>
              <w:t xml:space="preserve">Power Purchase Agreement (PPA) / direct technical link</w:t>
            </w:r>
          </w:p>
        </w:tc>
        <w:tc>
          <w:tcPr>
            <w:tcW w:type="dxa" w:w="6300"/>
            <w:tcMar>
              <w:top w:type="dxa" w:w="80"/>
              <w:left w:type="dxa" w:w="100"/>
              <w:bottom w:type="dxa" w:w="80"/>
              <w:right w:type="dxa" w:w="100"/>
            </w:tcMar>
          </w:tcPr>
          <w:p>
            <w:r>
              <w:rPr>
                <w:b w:val="false"/>
                <w:bCs w:val="false"/>
              </w:rPr>
              <w:t xml:space="preserve">Actual emissions of the specific electricity source may be used, subject to evidentiary requirements (smart-metering data, demonstration of physical delivery, and — for electricity imported into the EU — absence of network congestion).</w:t>
            </w:r>
          </w:p>
        </w:tc>
      </w:tr>
    </w:tbl>
    <w:p>
      <w:pPr>
        <w:pBdr>
          <w:left w:val="single" w:color="C00000" w:sz="12" w:space="8"/>
        </w:pBdr>
        <w:spacing w:after="200"/>
        <w:ind w:left="120"/>
      </w:pPr>
      <w:r>
        <w:rPr>
          <w:i/>
          <w:iCs/>
          <w:color w:val="9C4500"/>
          <w:sz w:val="20"/>
          <w:szCs w:val="20"/>
        </w:rPr>
        <w:t xml:space="preserve">⚠ The detailed evidentiary requirements for using actual electricity values (Annex II, points D.2.4 and D.4.3 of IR 2025/2547) are extensive and were only partially available when this document was prepared. Where actual values for electricity are relevant to your calculation, obtain the full text of points D.2.4 and D.4.3 before proceeding.</w:t>
      </w:r>
    </w:p>
    <w:p>
      <w:pPr>
        <w:pStyle w:val="Heading1"/>
        <w:spacing w:after="160" w:before="320"/>
      </w:pPr>
      <w:r>
        <w:t xml:space="preserve">9. Precursors (Complex Goods)</w:t>
      </w:r>
    </w:p>
    <w:p>
      <w:pPr>
        <w:spacing w:after="140"/>
      </w:pPr>
      <w:r>
        <w:t xml:space="preserve">Where a good's production process consumes another CBAM good as an input (a "precursor"), the good is a complex good, and the precursor's embedded emissions must be added to the calculation. For most aluminium production, relevant precursors may include externally purchased anodes or, for secondary melting, externally sourced unwrought aluminium.</w:t>
      </w:r>
    </w:p>
    <w:p>
      <w:pPr>
        <w:pStyle w:val="ListParagraph"/>
        <w:numPr>
          <w:ilvl w:val="0"/>
          <w:numId w:val="2"/>
        </w:numPr>
        <w:spacing w:after="80"/>
      </w:pPr>
      <w:r>
        <w:t xml:space="preserve">If produced in-house, the precursor's emissions are already captured within the installation's own monitoring — no separate addition is needed beyond correct attribution</w:t>
      </w:r>
    </w:p>
    <w:p>
      <w:pPr>
        <w:pStyle w:val="ListParagraph"/>
        <w:numPr>
          <w:ilvl w:val="0"/>
          <w:numId w:val="2"/>
        </w:numPr>
        <w:spacing w:after="80"/>
      </w:pPr>
      <w:r>
        <w:t xml:space="preserve">If purchased, actual data may only be used if backed by a verification report from an accredited verifier covering the correct reporting period — otherwise, the applicable default value must be used</w:t>
      </w:r>
    </w:p>
    <w:p>
      <w:pPr>
        <w:pStyle w:val="ListParagraph"/>
        <w:numPr>
          <w:ilvl w:val="0"/>
          <w:numId w:val="2"/>
        </w:numPr>
        <w:spacing w:after="80"/>
      </w:pPr>
      <w:r>
        <w:t xml:space="preserve">Where precursors of the same type are received from multiple installations or reporting periods, the default rule is a weighted average, unless the operator can evidence that only a specific installation or period applies to a given production process</w:t>
      </w:r>
    </w:p>
    <w:p>
      <w:pPr>
        <w:pStyle w:val="ListParagraph"/>
        <w:numPr>
          <w:ilvl w:val="0"/>
          <w:numId w:val="2"/>
        </w:numPr>
        <w:spacing w:after="80"/>
      </w:pPr>
      <w:r>
        <w:t xml:space="preserve">Actual and default values may be combined — e.g. actual data for the main process, default values for one or more precursors</w:t>
      </w:r>
    </w:p>
    <w:p>
      <w:pPr>
        <w:pStyle w:val="Heading1"/>
        <w:spacing w:after="160" w:before="320"/>
      </w:pPr>
      <w:r>
        <w:t xml:space="preserve">10. Default Values</w:t>
      </w:r>
    </w:p>
    <w:p>
      <w:pPr>
        <w:spacing w:after="140"/>
      </w:pPr>
      <w:r>
        <w:t xml:space="preserve">Where actual monitoring is not available or not used, default values published by the Commission apply, set out per third country and per good under Annex IV to the CBAM Regulation. For indirect emissions specifically, the default value is based on the five-year average emission factor of the country's electricity grid, smoothing out anomalous years. The Commission will review all default values by December 2027 at the latest.</w:t>
      </w:r>
    </w:p>
    <w:p>
      <w:pPr>
        <w:pBdr>
          <w:left w:val="single" w:color="1F3864" w:sz="12" w:space="8"/>
        </w:pBdr>
        <w:spacing w:after="200"/>
        <w:ind w:left="120"/>
      </w:pPr>
      <w:r>
        <w:rPr>
          <w:i/>
          <w:iCs/>
          <w:color w:val="555555"/>
          <w:sz w:val="20"/>
          <w:szCs w:val="20"/>
        </w:rPr>
        <w:t xml:space="preserve">Note: Alternative default values may be used under specific conditions (Annex II, points D.2.3 / D.4.4, or Annex V of IR 2025/2547) where the authorised CBAM declarant can substantiate them with formally adopted alternative data.</w:t>
      </w:r>
    </w:p>
    <w:p>
      <w:pPr>
        <w:pStyle w:val="Heading1"/>
        <w:spacing w:after="160" w:before="320"/>
      </w:pPr>
      <w:r>
        <w:t xml:space="preserve">11. Cross-Cutting Data Quality Principles</w:t>
      </w:r>
    </w:p>
    <w:p>
      <w:pPr>
        <w:spacing w:after="140"/>
      </w:pPr>
      <w:r>
        <w:t xml:space="preserve">Regardless of which methodology is chosen, IR 2025/2547 (Annex II, point A.2) requires the monitoring approach to satisfy the following principles:</w:t>
      </w:r>
    </w:p>
    <w:p>
      <w:pPr>
        <w:pStyle w:val="ListParagraph"/>
        <w:numPr>
          <w:ilvl w:val="0"/>
          <w:numId w:val="2"/>
        </w:numPr>
        <w:spacing w:after="80"/>
      </w:pPr>
      <w:r>
        <w:t xml:space="preserve">Completeness — cover all relevant parameters without double counting or data gaps</w:t>
      </w:r>
    </w:p>
    <w:p>
      <w:pPr>
        <w:pStyle w:val="ListParagraph"/>
        <w:numPr>
          <w:ilvl w:val="0"/>
          <w:numId w:val="2"/>
        </w:numPr>
        <w:spacing w:after="80"/>
      </w:pPr>
      <w:r>
        <w:t xml:space="preserve">Consistency and comparability — apply the same methods over time, changing only for objectively justified reasons</w:t>
      </w:r>
    </w:p>
    <w:p>
      <w:pPr>
        <w:pStyle w:val="ListParagraph"/>
        <w:numPr>
          <w:ilvl w:val="0"/>
          <w:numId w:val="2"/>
        </w:numPr>
        <w:spacing w:after="80"/>
      </w:pPr>
      <w:r>
        <w:t xml:space="preserve">Transparency — document data, assumptions, and any changes so an accredited verifier can verify with reasonable assurance</w:t>
      </w:r>
    </w:p>
    <w:p>
      <w:pPr>
        <w:pStyle w:val="ListParagraph"/>
        <w:numPr>
          <w:ilvl w:val="0"/>
          <w:numId w:val="2"/>
        </w:numPr>
        <w:spacing w:after="80"/>
      </w:pPr>
      <w:r>
        <w:t xml:space="preserve">Accuracy — avoid systematic or knowing inaccuracy; use conservative estimates where data gaps are unavoidable</w:t>
      </w:r>
    </w:p>
    <w:p>
      <w:pPr>
        <w:pStyle w:val="ListParagraph"/>
        <w:numPr>
          <w:ilvl w:val="0"/>
          <w:numId w:val="2"/>
        </w:numPr>
        <w:spacing w:after="80"/>
      </w:pPr>
      <w:r>
        <w:t xml:space="preserve">Data quality — apply a control system covering calibration, risk assessment, and internal review</w:t>
      </w:r>
    </w:p>
    <w:p>
      <w:pPr>
        <w:pStyle w:val="ListParagraph"/>
        <w:numPr>
          <w:ilvl w:val="0"/>
          <w:numId w:val="2"/>
        </w:numPr>
        <w:spacing w:after="80"/>
      </w:pPr>
      <w:r>
        <w:t xml:space="preserve">Cost-effectiveness — balance accuracy improvements against the cost of achieving them (with a defined €80/tCO2e reference price and a €4,000/year de-minimis threshold for required improvements)</w:t>
      </w:r>
    </w:p>
    <w:p>
      <w:pPr>
        <w:pStyle w:val="ListParagraph"/>
        <w:numPr>
          <w:ilvl w:val="0"/>
          <w:numId w:val="2"/>
        </w:numPr>
        <w:spacing w:after="80"/>
      </w:pPr>
      <w:r>
        <w:t xml:space="preserve">Continuous improvement — check at least annually whether better data sources have become available</w:t>
      </w:r>
    </w:p>
    <w:p>
      <w:pPr>
        <w:pBdr>
          <w:left w:val="single" w:color="1F3864" w:sz="12" w:space="8"/>
        </w:pBdr>
        <w:spacing w:after="200"/>
        <w:ind w:left="120"/>
      </w:pPr>
      <w:r>
        <w:rPr>
          <w:i/>
          <w:iCs/>
          <w:color w:val="555555"/>
          <w:sz w:val="20"/>
          <w:szCs w:val="20"/>
        </w:rPr>
        <w:t xml:space="preserve">Note: Records supporting all calculations must be retained at the installation for at least six years after the reporting period.</w:t>
      </w:r>
    </w:p>
    <w:p>
      <w:r>
        <w:br w:type="page"/>
      </w:r>
    </w:p>
    <w:p>
      <w:pPr>
        <w:pStyle w:val="Heading1"/>
        <w:spacing w:after="160" w:before="320"/>
      </w:pPr>
      <w:r>
        <w:t xml:space="preserve">Appendix — Reference to Official EU Sources</w:t>
      </w:r>
    </w:p>
    <w:p>
      <w:pPr>
        <w:pStyle w:val="ListParagraph"/>
        <w:numPr>
          <w:ilvl w:val="0"/>
          <w:numId w:val="2"/>
        </w:numPr>
        <w:spacing w:after="80"/>
      </w:pPr>
      <w:r>
        <w:t xml:space="preserve">Regulation (EU) 2023/956 — CBAM Regulation, Annex IV (general calculation methods)</w:t>
      </w:r>
    </w:p>
    <w:p>
      <w:pPr>
        <w:pStyle w:val="ListParagraph"/>
        <w:numPr>
          <w:ilvl w:val="0"/>
          <w:numId w:val="2"/>
        </w:numPr>
        <w:spacing w:after="80"/>
      </w:pPr>
      <w:r>
        <w:t xml:space="preserve">Commission Implementing Regulation (EU) 2025/2547 of 10 December 2025 — detailed calculation methodology; Annex I (system boundaries per sector), Annex II (monitoring rules — points A–E), Annex III (attribution rules), Annex IV (default values framework)</w:t>
      </w:r>
    </w:p>
    <w:p>
      <w:pPr>
        <w:pStyle w:val="ListParagraph"/>
        <w:numPr>
          <w:ilvl w:val="0"/>
          <w:numId w:val="2"/>
        </w:numPr>
        <w:spacing w:after="80"/>
      </w:pPr>
      <w:r>
        <w:t xml:space="preserve">Commission Implementing Regulation (EU) 2025/2546 of 10 December 2025 — verification principles</w:t>
      </w:r>
    </w:p>
    <w:p>
      <w:pPr>
        <w:pStyle w:val="ListParagraph"/>
        <w:numPr>
          <w:ilvl w:val="0"/>
          <w:numId w:val="2"/>
        </w:numPr>
        <w:spacing w:after="80"/>
      </w:pPr>
      <w:r>
        <w:t xml:space="preserve">Commission Implementing Regulation (EU) 2018/2066 — EU ETS monitoring and reporting methodology, which IR 2025/2547 builds upon</w:t>
      </w:r>
    </w:p>
    <w:p>
      <w:pPr>
        <w:pStyle w:val="ListParagraph"/>
        <w:numPr>
          <w:ilvl w:val="0"/>
          <w:numId w:val="2"/>
        </w:numPr>
        <w:spacing w:after="80"/>
      </w:pPr>
      <w:r>
        <w:t xml:space="preserve">International Aluminium Institute (IAI) — industry guidance on PFC estimation for fugitive emissions</w:t>
      </w:r>
    </w:p>
    <w:p>
      <w:pPr>
        <w:pStyle w:val="ListParagraph"/>
        <w:numPr>
          <w:ilvl w:val="0"/>
          <w:numId w:val="2"/>
        </w:numPr>
        <w:spacing w:after="80"/>
      </w:pPr>
      <w:r>
        <w:t xml:space="preserve">European Commission CBAM website: taxation-customs.ec.europa.eu/carbon-border-adjustment-mechanism_en</w:t>
      </w:r>
    </w:p>
    <w:p>
      <w:pPr>
        <w:pBdr>
          <w:left w:val="single" w:color="1F3864" w:sz="12" w:space="8"/>
        </w:pBdr>
        <w:spacing w:after="200"/>
        <w:ind w:left="120"/>
      </w:pPr>
      <w:r>
        <w:rPr>
          <w:i/>
          <w:iCs/>
          <w:color w:val="555555"/>
          <w:sz w:val="20"/>
          <w:szCs w:val="20"/>
        </w:rPr>
        <w:t xml:space="preserve">Note: This document is a technical reference summarising published EU methodology; it is not legal advice and does not replace the full text of IR 2025/2547. Sections flagged with ⚠ require verification against the complete, current regulatory text — particularly the PFC formulae (Annex II, point B.7) and the electricity evidentiary requirements (Annex II, points D.2.4 and D.4.3) — before use in an actual CBAM emissions report.</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Page </w:t>
    </w:r>
    <w:r>
      <w:rPr>
        <w:color w:val="8080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08080"/>
        <w:sz w:val="16"/>
        <w:szCs w:val="16"/>
      </w:rPr>
      <w:t xml:space="preserve">CBAM Emission Calculation Methodology — Aluminium Sector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pPr>
      <w:spacing w:after="160" w:before="320"/>
    </w:pPr>
    <w:rPr>
      <w:b/>
      <w:bCs/>
      <w:color w:val="1F3864"/>
      <w:sz w:val="30"/>
      <w:szCs w:val="30"/>
    </w:rPr>
  </w:style>
  <w:style w:type="paragraph" w:styleId="Heading2">
    <w:name w:val="Heading 2"/>
    <w:pPr>
      <w:spacing w:after="120" w:before="240"/>
    </w:pPr>
    <w:rPr>
      <w:b/>
      <w:bCs/>
      <w:color w:val="1F3864"/>
      <w:sz w:val="24"/>
      <w:szCs w:val="24"/>
    </w:rPr>
  </w:style>
  <w:style w:type="paragraph" w:styleId="Heading3">
    <w:name w:val="Heading 3"/>
    <w:pPr>
      <w:spacing w:after="100" w:before="200"/>
    </w:pPr>
    <w:rPr>
      <w:b/>
      <w:bCs/>
      <w:color w:val="44444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2026-08-13T20:00:34.511Z</dcterms:created>
  <dcterms:modified xsi:type="dcterms:W3CDTF">2026-08-13T20:00:34.525Z</dcterms:modified>
</cp:coreProperties>
</file>

<file path=docProps/custom.xml><?xml version="1.0" encoding="utf-8"?>
<Properties xmlns="http://schemas.openxmlformats.org/officeDocument/2006/custom-properties" xmlns:vt="http://schemas.openxmlformats.org/officeDocument/2006/docPropsVTypes"/>
</file>